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06" w:rsidRDefault="003F52A0" w:rsidP="00BC1C06">
      <w:pPr>
        <w:jc w:val="right"/>
        <w:rPr>
          <w:b/>
        </w:rPr>
      </w:pPr>
      <w:r w:rsidRPr="006932AA">
        <w:rPr>
          <w:b/>
        </w:rPr>
        <w:t xml:space="preserve">Załącznik nr </w:t>
      </w:r>
      <w:r w:rsidR="006932AA" w:rsidRPr="006932AA">
        <w:rPr>
          <w:b/>
        </w:rPr>
        <w:t>2a</w:t>
      </w:r>
      <w:r w:rsidR="00BC1C06" w:rsidRPr="006932AA">
        <w:rPr>
          <w:b/>
        </w:rPr>
        <w:t xml:space="preserve"> do SIWZ</w:t>
      </w:r>
    </w:p>
    <w:p w:rsidR="006350DF" w:rsidRDefault="006350DF" w:rsidP="00BC1C06">
      <w:pPr>
        <w:jc w:val="right"/>
        <w:rPr>
          <w:b/>
        </w:rPr>
      </w:pPr>
    </w:p>
    <w:p w:rsidR="00844A34" w:rsidRDefault="001A19ED" w:rsidP="003009E6">
      <w:pPr>
        <w:jc w:val="center"/>
        <w:rPr>
          <w:b/>
        </w:rPr>
      </w:pPr>
      <w:r w:rsidRPr="00AA3AED">
        <w:rPr>
          <w:b/>
        </w:rPr>
        <w:t xml:space="preserve">OPIS </w:t>
      </w:r>
      <w:r w:rsidR="00844A34" w:rsidRPr="00AA3AED">
        <w:rPr>
          <w:b/>
        </w:rPr>
        <w:t>PRZEDMIOT</w:t>
      </w:r>
      <w:r w:rsidRPr="00AA3AED">
        <w:rPr>
          <w:b/>
        </w:rPr>
        <w:t>U</w:t>
      </w:r>
      <w:r w:rsidR="00844A34" w:rsidRPr="00AA3AED">
        <w:rPr>
          <w:b/>
        </w:rPr>
        <w:t xml:space="preserve"> ZAMÓWIENIA</w:t>
      </w:r>
    </w:p>
    <w:p w:rsidR="00D24AA5" w:rsidRDefault="00D24AA5" w:rsidP="003009E6">
      <w:pPr>
        <w:jc w:val="center"/>
        <w:rPr>
          <w:b/>
        </w:rPr>
      </w:pPr>
    </w:p>
    <w:p w:rsidR="00D24AA5" w:rsidRDefault="00D24AA5" w:rsidP="003009E6">
      <w:pPr>
        <w:jc w:val="center"/>
        <w:rPr>
          <w:b/>
        </w:rPr>
      </w:pPr>
      <w:r w:rsidRPr="00D24AA5">
        <w:rPr>
          <w:b/>
        </w:rPr>
        <w:t>„Przebudowa placu targowego w mieście Skalbmierz”</w:t>
      </w:r>
    </w:p>
    <w:p w:rsidR="00D24AA5" w:rsidRDefault="00D24AA5" w:rsidP="003009E6">
      <w:pPr>
        <w:jc w:val="center"/>
        <w:rPr>
          <w:b/>
        </w:rPr>
      </w:pPr>
    </w:p>
    <w:p w:rsidR="00D24AA5" w:rsidRDefault="00D24AA5" w:rsidP="00D24AA5">
      <w:pPr>
        <w:jc w:val="both"/>
        <w:rPr>
          <w:b/>
        </w:rPr>
      </w:pPr>
      <w:r w:rsidRPr="00D24AA5">
        <w:rPr>
          <w:b/>
        </w:rPr>
        <w:t xml:space="preserve">Planowane dofinansowanie projektu na operacje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  </w:t>
      </w:r>
    </w:p>
    <w:p w:rsidR="00D24AA5" w:rsidRPr="00AA3AED" w:rsidRDefault="00D24AA5" w:rsidP="00D24AA5">
      <w:pPr>
        <w:jc w:val="both"/>
        <w:rPr>
          <w:b/>
        </w:rPr>
      </w:pPr>
    </w:p>
    <w:p w:rsidR="00844A34" w:rsidRPr="00AA3AED" w:rsidRDefault="00844A34" w:rsidP="003009E6">
      <w:pPr>
        <w:jc w:val="both"/>
      </w:pPr>
    </w:p>
    <w:p w:rsidR="001D0B18" w:rsidRPr="00AA3AED" w:rsidRDefault="002C0F9D" w:rsidP="00A55342">
      <w:pPr>
        <w:pStyle w:val="Akapitzlist"/>
        <w:numPr>
          <w:ilvl w:val="0"/>
          <w:numId w:val="1"/>
        </w:numPr>
        <w:ind w:left="426" w:hanging="426"/>
        <w:jc w:val="both"/>
        <w:rPr>
          <w:b/>
        </w:rPr>
      </w:pPr>
      <w:r>
        <w:rPr>
          <w:b/>
        </w:rPr>
        <w:t>Przedmiot zamówienia</w:t>
      </w:r>
    </w:p>
    <w:p w:rsidR="00B31E50" w:rsidRDefault="00B31E50" w:rsidP="00B31E50">
      <w:pPr>
        <w:autoSpaceDE w:val="0"/>
        <w:jc w:val="both"/>
      </w:pPr>
      <w:r>
        <w:t xml:space="preserve">Przedmiotem inwestycji jest: </w:t>
      </w:r>
      <w:r w:rsidR="00C53021">
        <w:t>P</w:t>
      </w:r>
      <w:r w:rsidR="00C53021" w:rsidRPr="00C53021">
        <w:rPr>
          <w:i/>
        </w:rPr>
        <w:t>rzebudowa placu targowego wraz z budową niezbędnych obiektów i urządzeń infrastruktury technicznej i drogowej na działce nr 870/2 w Skalbmierzu</w:t>
      </w:r>
      <w:r>
        <w:t>. Projekt przebudowy placu targowego w obrębie dz. nr 870/2 w S</w:t>
      </w:r>
      <w:bookmarkStart w:id="0" w:name="_GoBack"/>
      <w:bookmarkEnd w:id="0"/>
      <w:r>
        <w:t>kalbmierzu zakłada remont istniejącego obiektu budowlanego - wiaty handlowej, rozbiórkę pięciu budynków handlowych oraz budowę dziesięciu wiat parterowych wolnostojących z wydzielonymi stanowiskami handlowymi z artykułami rolno-spożywczymi oraz artykułami przemysłowymi. W jednej z wiat projektuje się pomieszcz</w:t>
      </w:r>
      <w:r w:rsidR="00EE3C63">
        <w:t>e</w:t>
      </w:r>
      <w:r>
        <w:t xml:space="preserve">nie stróżówki (wiata D1). Ponadto projektuje się zewnętrzne, niezadaszone (otwarte) stoiska handlowe z </w:t>
      </w:r>
      <w:proofErr w:type="spellStart"/>
      <w:r>
        <w:t>w.w</w:t>
      </w:r>
      <w:proofErr w:type="spellEnd"/>
      <w:r>
        <w:t>. artykułami, zlokalizowane</w:t>
      </w:r>
      <w:r w:rsidR="00806071">
        <w:t xml:space="preserve"> w obrębie terenów utwardzonych</w:t>
      </w:r>
      <w:r>
        <w:t>. Zakres projektu dotyczy także wyznaczenia układu komunikacyjnego na przedmiotowej działce (z powierzchnią kołową, pieszą oraz pieszo-kołową), utwardzenia terenu oraz odwodnienia terenów utwardzonych i odprowadzenia wód opadowych z dachów do projektowanej kanalizacji opadowej z ziemnym szczelnym zbiornikiem retencyjnym odparowującym z osadnikiem zanieczyszczeń i separatorem substancji ropopochodnych. Projekt zakłada również podłączenie budynku stróżówki do sieci wodociągowej, odprowadzenie ścieków do sieci kanalizacji sanitarnej</w:t>
      </w:r>
      <w:r w:rsidR="00EE3C63">
        <w:t>,</w:t>
      </w:r>
      <w:r>
        <w:t xml:space="preserve"> likwidację istniejącej napowietrznej sieci energii elektrycznej z przedmiotowej działki (istniejące oświetlenie placu) wraz z budową wewnętrznej lin</w:t>
      </w:r>
      <w:r w:rsidR="009921CA">
        <w:t>ii zasi</w:t>
      </w:r>
      <w:r>
        <w:t>laj</w:t>
      </w:r>
      <w:r w:rsidR="00EE3C63">
        <w:t>ą</w:t>
      </w:r>
      <w:r>
        <w:t>cej energii elektrycznej oraz oświetlenia terenu placu nowymi oprawami na słupach</w:t>
      </w:r>
      <w:r w:rsidR="00EE3C63">
        <w:t xml:space="preserve">, montaż instalacji fotowoltaicznej o mocy 15,36 </w:t>
      </w:r>
      <w:proofErr w:type="spellStart"/>
      <w:r w:rsidR="00EE3C63">
        <w:t>kWp</w:t>
      </w:r>
      <w:proofErr w:type="spellEnd"/>
      <w:r w:rsidR="00EE3C63">
        <w:t xml:space="preserve"> z zabezpieczeniem </w:t>
      </w:r>
      <w:proofErr w:type="spellStart"/>
      <w:r w:rsidR="00EE3C63">
        <w:t>antypompującym</w:t>
      </w:r>
      <w:proofErr w:type="spellEnd"/>
      <w:r>
        <w:t>. Teren inwestycji jest w zasadzie terenem płaskim, nieznacznie opada z rzędnych 199,5m n.p.m. przy wjeździe na plac do rzędnych 198,3m n.p.m. przy granicy zachodniej działki. Poziom +/- 0,00m  projektowanych wiat na terenie inwestycji wynosi +199,30m n.p.m. (wiaty D1, D2, C1, C2),  +199,00m n.p.m. (wiaty A1, B1), +198,75m n.p.m. (wiaty A2, B2), +198,50m n.p.m. (wiaty A3, B3). Teren inwestycji od strony zachodniej sąsiaduje z drogą publiczną (dz. nr 800), do której posiada dostęp poprzez dwa zjazdy publiczne. Od strony północnej teren sąsiaduje z terenami zabudowy usługowej oraz z działką drogową – droga wewnętrzna (dz. nr 869). Na południu od nieruchomości zlokalizowane są tereny zabudowy mieszkaniowej jednorodzinnej. Także od południa oraz od wschodu znajdują się tereny niezabudowane o charakterze rolniczym.</w:t>
      </w:r>
    </w:p>
    <w:p w:rsidR="00B31E50" w:rsidRDefault="00B31E50" w:rsidP="00B31E50">
      <w:pPr>
        <w:autoSpaceDE w:val="0"/>
        <w:jc w:val="both"/>
      </w:pPr>
    </w:p>
    <w:p w:rsidR="00B31E50" w:rsidRDefault="00B31E50" w:rsidP="00B31E50">
      <w:pPr>
        <w:autoSpaceDE w:val="0"/>
        <w:jc w:val="both"/>
      </w:pPr>
      <w:r>
        <w:t xml:space="preserve">W zakres remontu głównej wiaty handlowej (Bud. „E”) wchodzi wymiana pokrycia dachu, zmiana kolorystki konstrukcji stalowej wiaty, po wcześniejszym jej oczyszczeniu, montaż elementów z blachy perforowanej oraz dodatkowych przesłon drewnianych na ruszcie stalowym na szczytowych elewacjach obiektu. Maksymalna wysokość wiaty od poziomu +/- 0,00m wynosi 4,40m.  Wiata w rzucie zajmuje powierzchnię prostokąta o wym. 39,45m x 22,00m. Projektuje się budowę 10 wiat handlowych parterowych, wolnostojących. Wiaty o konstrukcji stalowej, projektuje się w 4 typach (A, B, C, D), wg szczegółowych rys. architektury. W wiacie D1, przy wjeździe na teren placu projektuje się dodatkowo </w:t>
      </w:r>
      <w:r>
        <w:lastRenderedPageBreak/>
        <w:t xml:space="preserve">pomieszczenie stróżówki. Maksymalna wysokość wiaty typu A od poziomu +/- 0,00m wynosi 6,28m. Wiata w rzucie zajmuje powierzchnię prostokąta o wym. 17,00m x 24,00m. Maksymalna wysokość wiaty typu B od poziomu +/- 0,00m wynosi 5,25m. Wiata w rzucie zajmuje powierzchnię prostokąta o wym. 8,50m x 24,00m. Maksymalna wysokość wiaty typu C od poziomu +/- 0,00m wynosi 3,84m. Wiata w rzucie zajmuje powierzchnię prostokąta o wym. 5,00m x 18,00m.  Maksymalna wysokość wiaty typu D od poziomu +/- 0,00m wynosi 3,84m. Wiata w rzucie zajmuje powierzchnię prostokąta o wym. 5,00m x 15,00m. </w:t>
      </w:r>
    </w:p>
    <w:p w:rsidR="00B31E50" w:rsidRDefault="00B31E50" w:rsidP="00B31E50">
      <w:pPr>
        <w:autoSpaceDE w:val="0"/>
        <w:jc w:val="both"/>
      </w:pPr>
    </w:p>
    <w:p w:rsidR="00B31E50" w:rsidRDefault="00B31E50" w:rsidP="00B31E50">
      <w:pPr>
        <w:autoSpaceDE w:val="0"/>
        <w:jc w:val="both"/>
      </w:pPr>
      <w:r>
        <w:t>Zadanie w fazie realizacji zostanie zrealizowane jednoetapowo. Projektuje się odwodnienie dachów oraz terenów utwardzonych do projektowanej sieci kanalizacji opadowej z ziemnym szczelnym zbiornikiem retencyjnym odparowującym. Lokalizacja na zakończeniu trasy kanalizacji opadowej z terenów utwardzonych separatora substancji ropopochodny</w:t>
      </w:r>
      <w:r w:rsidR="00806071">
        <w:t>ch oraz osadnika zanieczyszczeń</w:t>
      </w:r>
      <w:r>
        <w:t xml:space="preserve">. Obecnie teren inwestycji jest ogrodzony, projektuje się wymianę ogrodzenia od strony frontu nieruchomości – od strony wjazdów na działkę, z montażem dwóch szlabanów oraz parkometrów. Projektuje się utwardzenie terenu, które stanowić będzie dojścia piesze, dojazdy i ciągi pieszo-jezdne oraz zewnętrzne, niezadaszone (otwarte)  stoiska handlowe - zgodnie z częścią graficzną projektu zagospodarowania terenu. </w:t>
      </w:r>
    </w:p>
    <w:p w:rsidR="00181592" w:rsidRDefault="00B31E50" w:rsidP="00B31E50">
      <w:pPr>
        <w:autoSpaceDE w:val="0"/>
        <w:jc w:val="both"/>
      </w:pPr>
      <w:r>
        <w:t xml:space="preserve">Nawierzchnia utwardzona zostanie wykonana z kostki brukowej, </w:t>
      </w:r>
      <w:proofErr w:type="spellStart"/>
      <w:r>
        <w:t>wibroprasowanej</w:t>
      </w:r>
      <w:proofErr w:type="spellEnd"/>
      <w:r>
        <w:t>, układanej na podsypce piaskowej, podbudowie z kruszywa łamanego stabilizowanego mechanicznie oraz na podsypce piaskowej. Krawędzie nawierzchni zostaną zabezpieczone obrzeżami betonowymi i krawężnikami ustawionymi na ławie betonowej. Zostaną wykonane spadki w kierunku studzienek wodościekowych z osadnikami podłączonymi do sieci kanalizacji opadowej – zgodnie z częścią graficzną projektu zagospodarowania terenu. Zapewnia się, że wody opadowe z terenów utwardzonych i dachów nie zmienią stosunków wodnych na działkach sąsiednich, a także wody te nie będą wodami zanieczyszczonymi.</w:t>
      </w:r>
    </w:p>
    <w:p w:rsidR="00C27C95" w:rsidRDefault="00C27C95" w:rsidP="00B31E50">
      <w:pPr>
        <w:autoSpaceDE w:val="0"/>
        <w:jc w:val="both"/>
      </w:pPr>
    </w:p>
    <w:p w:rsidR="00C27C95" w:rsidRDefault="00C27C95" w:rsidP="00B31E50">
      <w:pPr>
        <w:autoSpaceDE w:val="0"/>
        <w:jc w:val="both"/>
      </w:pPr>
      <w:r>
        <w:t>Kategoria obiektów budowlanych:</w:t>
      </w:r>
      <w:r w:rsidR="009921CA">
        <w:t xml:space="preserve"> </w:t>
      </w:r>
      <w:r>
        <w:t>XVIII</w:t>
      </w:r>
    </w:p>
    <w:p w:rsidR="00B31E50" w:rsidRPr="00AA3AED" w:rsidRDefault="00B31E50" w:rsidP="00B31E50">
      <w:pPr>
        <w:autoSpaceDE w:val="0"/>
        <w:jc w:val="both"/>
      </w:pPr>
    </w:p>
    <w:p w:rsidR="00181592" w:rsidRDefault="002C0F9D" w:rsidP="00A55342">
      <w:pPr>
        <w:pStyle w:val="Standard"/>
        <w:numPr>
          <w:ilvl w:val="0"/>
          <w:numId w:val="1"/>
        </w:numPr>
        <w:ind w:left="426" w:hanging="426"/>
        <w:jc w:val="both"/>
        <w:rPr>
          <w:b/>
          <w:lang w:val="pl-PL"/>
        </w:rPr>
      </w:pPr>
      <w:r>
        <w:rPr>
          <w:b/>
          <w:lang w:val="pl-PL"/>
        </w:rPr>
        <w:t>O</w:t>
      </w:r>
      <w:r w:rsidRPr="00AA3AED">
        <w:rPr>
          <w:b/>
          <w:lang w:val="pl-PL"/>
        </w:rPr>
        <w:t>pis istniejącego stanu zag</w:t>
      </w:r>
      <w:r>
        <w:rPr>
          <w:b/>
          <w:lang w:val="pl-PL"/>
        </w:rPr>
        <w:t>ospodarowania terenu inwestycji</w:t>
      </w:r>
    </w:p>
    <w:p w:rsidR="00FA479C" w:rsidRPr="00AA3AED" w:rsidRDefault="00FA479C" w:rsidP="00FA479C">
      <w:pPr>
        <w:pStyle w:val="Standard"/>
        <w:ind w:left="426"/>
        <w:jc w:val="both"/>
        <w:rPr>
          <w:b/>
          <w:lang w:val="pl-PL"/>
        </w:rPr>
      </w:pPr>
    </w:p>
    <w:p w:rsidR="00B8192F" w:rsidRDefault="00B8192F" w:rsidP="00886237">
      <w:pPr>
        <w:pStyle w:val="T111"/>
        <w:spacing w:after="0" w:line="240" w:lineRule="auto"/>
        <w:ind w:left="0"/>
        <w:jc w:val="both"/>
        <w:rPr>
          <w:rFonts w:ascii="Times New Roman" w:eastAsia="TT50o00" w:hAnsi="Times New Roman" w:cs="Times New Roman"/>
          <w:color w:val="auto"/>
          <w:lang w:eastAsia="en-US"/>
        </w:rPr>
      </w:pPr>
      <w:r w:rsidRPr="00B8192F">
        <w:rPr>
          <w:rFonts w:ascii="Times New Roman" w:eastAsia="TT50o00" w:hAnsi="Times New Roman" w:cs="Times New Roman"/>
          <w:color w:val="auto"/>
          <w:lang w:eastAsia="en-US"/>
        </w:rPr>
        <w:t>Obecnie teren przeznaczony pod inwestycję jest zabudowany wiatą handlową (objętą projektem modernizacji), budynkiem sanitariatów ogólnodostępnych oraz pięcioma budynkami handlowymi przeznaczonymi do rozbiórki. Budynki przeznaczone do rozbiórki są obiektami handlowymi, parterowymi, niepodpiwniczonymi. W sąsiedztwie inwestycji istnieją tereny usługowe oraz tereny zabudowy mieszkaniowej jednorodzinnej. Na obecnym etapie, przez teren inwestycji przebiegają elementy infrastruktury technicznej wymagające likwidacji, ze względu na zakres inwestycji, w postaci napowietrznej sieć energii elektrycznej wraz z słupami energetycznymi. Likwidacja istniejącej sieci oraz jej elementów na podstawie projektu branży elektrycznej.</w:t>
      </w:r>
    </w:p>
    <w:p w:rsidR="00B8192F" w:rsidRDefault="00B8192F" w:rsidP="00886237">
      <w:pPr>
        <w:pStyle w:val="T111"/>
        <w:spacing w:after="0" w:line="240" w:lineRule="auto"/>
        <w:ind w:left="0"/>
        <w:jc w:val="both"/>
        <w:rPr>
          <w:rFonts w:ascii="Times New Roman" w:eastAsia="TT50o00" w:hAnsi="Times New Roman" w:cs="Times New Roman"/>
          <w:color w:val="auto"/>
          <w:lang w:eastAsia="en-US"/>
        </w:rPr>
      </w:pPr>
    </w:p>
    <w:p w:rsidR="006F3E1F" w:rsidRPr="00AA3AED" w:rsidRDefault="002C0F9D" w:rsidP="00FA479C">
      <w:pPr>
        <w:pStyle w:val="T111"/>
        <w:numPr>
          <w:ilvl w:val="0"/>
          <w:numId w:val="1"/>
        </w:numPr>
        <w:spacing w:after="0" w:line="240" w:lineRule="auto"/>
        <w:ind w:left="426" w:hanging="426"/>
        <w:jc w:val="both"/>
        <w:rPr>
          <w:rFonts w:ascii="Times New Roman" w:hAnsi="Times New Roman" w:cs="Times New Roman"/>
          <w:b/>
          <w:color w:val="auto"/>
        </w:rPr>
      </w:pPr>
      <w:r>
        <w:rPr>
          <w:rFonts w:ascii="Times New Roman" w:hAnsi="Times New Roman" w:cs="Times New Roman"/>
          <w:b/>
          <w:color w:val="auto"/>
        </w:rPr>
        <w:t>P</w:t>
      </w:r>
      <w:r w:rsidR="00C53021" w:rsidRPr="00AA3AED">
        <w:rPr>
          <w:rFonts w:ascii="Times New Roman" w:hAnsi="Times New Roman" w:cs="Times New Roman"/>
          <w:b/>
          <w:color w:val="auto"/>
        </w:rPr>
        <w:t>odstawowe dane i charakterystyczne parametry określające</w:t>
      </w:r>
      <w:r w:rsidR="00C53021">
        <w:rPr>
          <w:rFonts w:ascii="Times New Roman" w:hAnsi="Times New Roman" w:cs="Times New Roman"/>
          <w:b/>
          <w:color w:val="auto"/>
        </w:rPr>
        <w:t xml:space="preserve"> i opisujące </w:t>
      </w:r>
      <w:r>
        <w:rPr>
          <w:rFonts w:ascii="Times New Roman" w:hAnsi="Times New Roman" w:cs="Times New Roman"/>
          <w:b/>
          <w:color w:val="auto"/>
        </w:rPr>
        <w:t xml:space="preserve"> zakres robót</w:t>
      </w:r>
    </w:p>
    <w:p w:rsidR="00A07A49" w:rsidRPr="00AA3AED" w:rsidRDefault="00A07A49" w:rsidP="00A07A49">
      <w:pPr>
        <w:pStyle w:val="T111"/>
        <w:spacing w:after="0" w:line="240" w:lineRule="auto"/>
        <w:ind w:left="851" w:hanging="851"/>
        <w:jc w:val="both"/>
        <w:rPr>
          <w:rFonts w:ascii="Times New Roman" w:hAnsi="Times New Roman" w:cs="Times New Roman"/>
          <w:color w:val="auto"/>
        </w:rPr>
      </w:pPr>
      <w:r w:rsidRPr="00AA3AED">
        <w:rPr>
          <w:rFonts w:ascii="Times New Roman" w:hAnsi="Times New Roman" w:cs="Times New Roman"/>
          <w:color w:val="auto"/>
        </w:rPr>
        <w:t xml:space="preserve">Inwestor: Gmina </w:t>
      </w:r>
      <w:r w:rsidR="00B8192F">
        <w:rPr>
          <w:rFonts w:ascii="Times New Roman" w:hAnsi="Times New Roman" w:cs="Times New Roman"/>
          <w:color w:val="auto"/>
        </w:rPr>
        <w:t>Skalbmierz, ul. T. Kościuszki 1, 28-530 Skalbmierz</w:t>
      </w:r>
    </w:p>
    <w:p w:rsidR="00A07A49" w:rsidRPr="00AA3AED" w:rsidRDefault="00A07A49" w:rsidP="00A07A49">
      <w:pPr>
        <w:pStyle w:val="T111"/>
        <w:spacing w:after="0" w:line="240" w:lineRule="auto"/>
        <w:ind w:left="0"/>
        <w:jc w:val="both"/>
        <w:rPr>
          <w:rFonts w:ascii="Times New Roman" w:hAnsi="Times New Roman" w:cs="Times New Roman"/>
          <w:color w:val="auto"/>
        </w:rPr>
      </w:pPr>
      <w:r w:rsidRPr="00AA3AED">
        <w:rPr>
          <w:rFonts w:ascii="Times New Roman" w:hAnsi="Times New Roman" w:cs="Times New Roman"/>
          <w:color w:val="auto"/>
        </w:rPr>
        <w:t>Adres inwestycji.</w:t>
      </w:r>
    </w:p>
    <w:p w:rsidR="008D605C" w:rsidRPr="00B8192F" w:rsidRDefault="00A07A49" w:rsidP="00B8192F">
      <w:pPr>
        <w:autoSpaceDE w:val="0"/>
        <w:autoSpaceDN w:val="0"/>
        <w:adjustRightInd w:val="0"/>
        <w:jc w:val="both"/>
        <w:rPr>
          <w:rFonts w:eastAsia="TT56o00"/>
          <w:lang w:eastAsia="en-US"/>
        </w:rPr>
      </w:pPr>
      <w:r w:rsidRPr="00B8192F">
        <w:rPr>
          <w:rFonts w:eastAsia="TT56o00"/>
          <w:lang w:eastAsia="en-US"/>
        </w:rPr>
        <w:t>Przedmiotowa inwestycja zlokalizowana jest na dział</w:t>
      </w:r>
      <w:r w:rsidR="00B8192F" w:rsidRPr="00B8192F">
        <w:rPr>
          <w:rFonts w:eastAsia="TT56o00"/>
          <w:lang w:eastAsia="en-US"/>
        </w:rPr>
        <w:t>ce</w:t>
      </w:r>
      <w:r w:rsidRPr="00B8192F">
        <w:rPr>
          <w:rFonts w:eastAsia="TT56o00"/>
          <w:lang w:eastAsia="en-US"/>
        </w:rPr>
        <w:t xml:space="preserve"> nr </w:t>
      </w:r>
      <w:proofErr w:type="spellStart"/>
      <w:r w:rsidRPr="00B8192F">
        <w:rPr>
          <w:rFonts w:eastAsia="TT56o00"/>
          <w:lang w:eastAsia="en-US"/>
        </w:rPr>
        <w:t>ewid</w:t>
      </w:r>
      <w:proofErr w:type="spellEnd"/>
      <w:r w:rsidRPr="00B8192F">
        <w:rPr>
          <w:rFonts w:eastAsia="TT56o00"/>
          <w:lang w:eastAsia="en-US"/>
        </w:rPr>
        <w:t xml:space="preserve">. </w:t>
      </w:r>
      <w:r w:rsidR="00B8192F" w:rsidRPr="00B8192F">
        <w:rPr>
          <w:rFonts w:eastAsia="TT56o00"/>
          <w:lang w:eastAsia="en-US"/>
        </w:rPr>
        <w:t xml:space="preserve">870/2 </w:t>
      </w:r>
      <w:r w:rsidRPr="00B8192F">
        <w:rPr>
          <w:rFonts w:eastAsia="TT56o00"/>
          <w:lang w:eastAsia="en-US"/>
        </w:rPr>
        <w:t>położon</w:t>
      </w:r>
      <w:r w:rsidR="00B8192F" w:rsidRPr="00B8192F">
        <w:rPr>
          <w:rFonts w:eastAsia="TT56o00"/>
          <w:lang w:eastAsia="en-US"/>
        </w:rPr>
        <w:t>ej</w:t>
      </w:r>
      <w:r w:rsidRPr="00B8192F">
        <w:rPr>
          <w:rFonts w:eastAsia="TT56o00"/>
          <w:lang w:eastAsia="en-US"/>
        </w:rPr>
        <w:t xml:space="preserve"> przy ul. </w:t>
      </w:r>
      <w:r w:rsidR="00B8192F" w:rsidRPr="00B8192F">
        <w:rPr>
          <w:rFonts w:eastAsia="TT56o00"/>
          <w:lang w:eastAsia="en-US"/>
        </w:rPr>
        <w:t>Kopernika</w:t>
      </w:r>
      <w:r w:rsidR="00B8192F">
        <w:rPr>
          <w:rFonts w:eastAsia="TT56o00"/>
          <w:lang w:eastAsia="en-US"/>
        </w:rPr>
        <w:t>.</w:t>
      </w:r>
      <w:r w:rsidR="00B8192F" w:rsidRPr="00B8192F">
        <w:rPr>
          <w:rFonts w:eastAsia="TT56o00"/>
          <w:lang w:eastAsia="en-US"/>
        </w:rPr>
        <w:t xml:space="preserve"> </w:t>
      </w:r>
      <w:r w:rsidRPr="00B8192F">
        <w:rPr>
          <w:rFonts w:eastAsia="TT56o00"/>
          <w:lang w:eastAsia="en-US"/>
        </w:rPr>
        <w:t xml:space="preserve"> </w:t>
      </w:r>
    </w:p>
    <w:p w:rsidR="00181592" w:rsidRDefault="00181592" w:rsidP="003009E6">
      <w:pPr>
        <w:pStyle w:val="T111"/>
        <w:spacing w:after="0" w:line="240" w:lineRule="auto"/>
        <w:ind w:left="0"/>
        <w:jc w:val="both"/>
        <w:rPr>
          <w:rFonts w:ascii="Times New Roman" w:hAnsi="Times New Roman" w:cs="Times New Roman"/>
          <w:color w:val="auto"/>
        </w:rPr>
      </w:pPr>
      <w:r w:rsidRPr="00AA3AED">
        <w:rPr>
          <w:rFonts w:ascii="Times New Roman" w:hAnsi="Times New Roman" w:cs="Times New Roman"/>
          <w:color w:val="auto"/>
        </w:rPr>
        <w:t>Teren przeznaczony pod Inwestycję zlokali</w:t>
      </w:r>
      <w:r w:rsidR="0026186E" w:rsidRPr="00AA3AED">
        <w:rPr>
          <w:rFonts w:ascii="Times New Roman" w:hAnsi="Times New Roman" w:cs="Times New Roman"/>
          <w:color w:val="auto"/>
        </w:rPr>
        <w:t>zowany jest na działkach będących</w:t>
      </w:r>
      <w:r w:rsidRPr="00AA3AED">
        <w:rPr>
          <w:rFonts w:ascii="Times New Roman" w:hAnsi="Times New Roman" w:cs="Times New Roman"/>
          <w:color w:val="auto"/>
        </w:rPr>
        <w:t xml:space="preserve"> własności</w:t>
      </w:r>
      <w:r w:rsidR="00A07A49" w:rsidRPr="00AA3AED">
        <w:rPr>
          <w:rFonts w:ascii="Times New Roman" w:hAnsi="Times New Roman" w:cs="Times New Roman"/>
          <w:color w:val="auto"/>
        </w:rPr>
        <w:t xml:space="preserve">ą Gminy </w:t>
      </w:r>
      <w:r w:rsidR="00B8192F">
        <w:rPr>
          <w:rFonts w:ascii="Times New Roman" w:hAnsi="Times New Roman" w:cs="Times New Roman"/>
          <w:color w:val="auto"/>
        </w:rPr>
        <w:t>Skalbmierz</w:t>
      </w:r>
      <w:r w:rsidR="00A07A49" w:rsidRPr="00AA3AED">
        <w:rPr>
          <w:rFonts w:ascii="Times New Roman" w:hAnsi="Times New Roman" w:cs="Times New Roman"/>
          <w:color w:val="auto"/>
        </w:rPr>
        <w:t>.</w:t>
      </w:r>
    </w:p>
    <w:p w:rsidR="00FA479C" w:rsidRPr="00AA3AED" w:rsidRDefault="00FA479C" w:rsidP="003009E6">
      <w:pPr>
        <w:pStyle w:val="T111"/>
        <w:spacing w:after="0" w:line="240" w:lineRule="auto"/>
        <w:ind w:left="0"/>
        <w:jc w:val="both"/>
        <w:rPr>
          <w:rFonts w:ascii="Times New Roman" w:hAnsi="Times New Roman" w:cs="Times New Roman"/>
          <w:color w:val="auto"/>
        </w:rPr>
      </w:pPr>
    </w:p>
    <w:p w:rsidR="0004166B" w:rsidRPr="002F1BF0" w:rsidRDefault="0004166B" w:rsidP="00AC2270">
      <w:pPr>
        <w:autoSpaceDE w:val="0"/>
        <w:autoSpaceDN w:val="0"/>
        <w:adjustRightInd w:val="0"/>
        <w:rPr>
          <w:rFonts w:eastAsiaTheme="minorHAnsi"/>
          <w:lang w:eastAsia="en-US"/>
        </w:rPr>
      </w:pPr>
    </w:p>
    <w:p w:rsidR="00C53021" w:rsidRDefault="00C53021" w:rsidP="002F1BF0">
      <w:pPr>
        <w:autoSpaceDE w:val="0"/>
        <w:autoSpaceDN w:val="0"/>
        <w:adjustRightInd w:val="0"/>
        <w:rPr>
          <w:rFonts w:eastAsiaTheme="minorHAnsi"/>
          <w:b/>
          <w:bCs/>
          <w:lang w:eastAsia="en-US"/>
        </w:rPr>
      </w:pPr>
    </w:p>
    <w:p w:rsidR="00C53021" w:rsidRDefault="00C53021" w:rsidP="002F1BF0">
      <w:pPr>
        <w:autoSpaceDE w:val="0"/>
        <w:autoSpaceDN w:val="0"/>
        <w:adjustRightInd w:val="0"/>
        <w:rPr>
          <w:rFonts w:eastAsiaTheme="minorHAnsi"/>
          <w:b/>
          <w:bCs/>
          <w:lang w:eastAsia="en-US"/>
        </w:rPr>
      </w:pPr>
    </w:p>
    <w:p w:rsidR="00AC4B20" w:rsidRPr="00FA479C" w:rsidRDefault="00C53021" w:rsidP="00FA479C">
      <w:pPr>
        <w:pStyle w:val="Akapitzlist"/>
        <w:numPr>
          <w:ilvl w:val="0"/>
          <w:numId w:val="1"/>
        </w:numPr>
        <w:autoSpaceDE w:val="0"/>
        <w:autoSpaceDN w:val="0"/>
        <w:adjustRightInd w:val="0"/>
        <w:ind w:left="426" w:hanging="426"/>
        <w:rPr>
          <w:rFonts w:eastAsiaTheme="minorHAnsi"/>
          <w:bCs/>
          <w:lang w:eastAsia="en-US"/>
        </w:rPr>
      </w:pPr>
      <w:r w:rsidRPr="002C0F9D">
        <w:rPr>
          <w:rFonts w:eastAsiaTheme="minorHAnsi"/>
          <w:b/>
          <w:bCs/>
          <w:lang w:eastAsia="en-US"/>
        </w:rPr>
        <w:t>Zestawienie powierzchni</w:t>
      </w:r>
    </w:p>
    <w:p w:rsidR="00FA479C" w:rsidRPr="002C0F9D" w:rsidRDefault="00FA479C" w:rsidP="00FA479C">
      <w:pPr>
        <w:pStyle w:val="Akapitzlist"/>
        <w:autoSpaceDE w:val="0"/>
        <w:autoSpaceDN w:val="0"/>
        <w:adjustRightInd w:val="0"/>
        <w:ind w:left="426"/>
        <w:rPr>
          <w:rFonts w:eastAsiaTheme="minorHAnsi"/>
          <w:bCs/>
          <w:lang w:eastAsia="en-US"/>
        </w:rPr>
      </w:pP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A1, A2, A3               </w:t>
      </w:r>
      <w:r w:rsidRPr="002F1BF0">
        <w:rPr>
          <w:rFonts w:eastAsiaTheme="minorHAnsi"/>
          <w:bCs/>
          <w:lang w:eastAsia="en-US"/>
        </w:rPr>
        <w:tab/>
      </w:r>
      <w:r w:rsidRPr="002F1BF0">
        <w:rPr>
          <w:rFonts w:eastAsiaTheme="minorHAnsi"/>
          <w:bCs/>
          <w:lang w:eastAsia="en-US"/>
        </w:rPr>
        <w:tab/>
        <w:t>408,00  m</w:t>
      </w:r>
      <w:r w:rsidRPr="002F1BF0">
        <w:rPr>
          <w:rFonts w:eastAsiaTheme="minorHAnsi"/>
          <w:bCs/>
          <w:vertAlign w:val="superscript"/>
          <w:lang w:eastAsia="en-US"/>
        </w:rPr>
        <w:t xml:space="preserve">2  </w:t>
      </w:r>
      <w:r w:rsidRPr="002F1BF0">
        <w:rPr>
          <w:rFonts w:eastAsiaTheme="minorHAnsi"/>
          <w:bCs/>
          <w:lang w:eastAsia="en-US"/>
        </w:rPr>
        <w:t>= 1224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B1, B2, B3               </w:t>
      </w:r>
      <w:r w:rsidRPr="002F1BF0">
        <w:rPr>
          <w:rFonts w:eastAsiaTheme="minorHAnsi"/>
          <w:bCs/>
          <w:lang w:eastAsia="en-US"/>
        </w:rPr>
        <w:tab/>
      </w:r>
      <w:r w:rsidRPr="002F1BF0">
        <w:rPr>
          <w:rFonts w:eastAsiaTheme="minorHAnsi"/>
          <w:bCs/>
          <w:lang w:eastAsia="en-US"/>
        </w:rPr>
        <w:tab/>
        <w:t>204,00  m</w:t>
      </w:r>
      <w:r w:rsidRPr="002F1BF0">
        <w:rPr>
          <w:rFonts w:eastAsiaTheme="minorHAnsi"/>
          <w:bCs/>
          <w:vertAlign w:val="superscript"/>
          <w:lang w:eastAsia="en-US"/>
        </w:rPr>
        <w:t xml:space="preserve">2 </w:t>
      </w:r>
      <w:r w:rsidRPr="002F1BF0">
        <w:rPr>
          <w:rFonts w:eastAsiaTheme="minorHAnsi"/>
          <w:bCs/>
          <w:lang w:eastAsia="en-US"/>
        </w:rPr>
        <w:t>= 612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C3, C4              </w:t>
      </w:r>
      <w:r w:rsidRPr="002F1BF0">
        <w:rPr>
          <w:rFonts w:eastAsiaTheme="minorHAnsi"/>
          <w:bCs/>
          <w:lang w:eastAsia="en-US"/>
        </w:rPr>
        <w:tab/>
      </w:r>
      <w:r w:rsidRPr="002F1BF0">
        <w:rPr>
          <w:rFonts w:eastAsiaTheme="minorHAnsi"/>
          <w:bCs/>
          <w:lang w:eastAsia="en-US"/>
        </w:rPr>
        <w:tab/>
        <w:t xml:space="preserve">   </w:t>
      </w:r>
      <w:r w:rsidR="006932AA">
        <w:rPr>
          <w:rFonts w:eastAsiaTheme="minorHAnsi"/>
          <w:bCs/>
          <w:lang w:eastAsia="en-US"/>
        </w:rPr>
        <w:tab/>
        <w:t xml:space="preserve">  </w:t>
      </w:r>
      <w:r w:rsidRPr="002F1BF0">
        <w:rPr>
          <w:rFonts w:eastAsiaTheme="minorHAnsi"/>
          <w:bCs/>
          <w:lang w:eastAsia="en-US"/>
        </w:rPr>
        <w:t>90,00  m</w:t>
      </w:r>
      <w:r w:rsidRPr="002F1BF0">
        <w:rPr>
          <w:rFonts w:eastAsiaTheme="minorHAnsi"/>
          <w:bCs/>
          <w:vertAlign w:val="superscript"/>
          <w:lang w:eastAsia="en-US"/>
        </w:rPr>
        <w:t xml:space="preserve">2 </w:t>
      </w:r>
      <w:r w:rsidRPr="002F1BF0">
        <w:rPr>
          <w:rFonts w:eastAsiaTheme="minorHAnsi"/>
          <w:bCs/>
          <w:lang w:eastAsia="en-US"/>
        </w:rPr>
        <w:t>= 180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D1, D2               </w:t>
      </w:r>
      <w:r w:rsidRPr="002F1BF0">
        <w:rPr>
          <w:rFonts w:eastAsiaTheme="minorHAnsi"/>
          <w:bCs/>
          <w:lang w:eastAsia="en-US"/>
        </w:rPr>
        <w:tab/>
      </w:r>
      <w:r w:rsidRPr="002F1BF0">
        <w:rPr>
          <w:rFonts w:eastAsiaTheme="minorHAnsi"/>
          <w:bCs/>
          <w:lang w:eastAsia="en-US"/>
        </w:rPr>
        <w:tab/>
        <w:t xml:space="preserve"> </w:t>
      </w:r>
      <w:r w:rsidR="006932AA">
        <w:rPr>
          <w:rFonts w:eastAsiaTheme="minorHAnsi"/>
          <w:bCs/>
          <w:lang w:eastAsia="en-US"/>
        </w:rPr>
        <w:tab/>
      </w:r>
      <w:r w:rsidRPr="002F1BF0">
        <w:rPr>
          <w:rFonts w:eastAsiaTheme="minorHAnsi"/>
          <w:bCs/>
          <w:lang w:eastAsia="en-US"/>
        </w:rPr>
        <w:t xml:space="preserve">  77,00  m</w:t>
      </w:r>
      <w:r w:rsidRPr="002F1BF0">
        <w:rPr>
          <w:rFonts w:eastAsiaTheme="minorHAnsi"/>
          <w:bCs/>
          <w:vertAlign w:val="superscript"/>
          <w:lang w:eastAsia="en-US"/>
        </w:rPr>
        <w:t xml:space="preserve">2 </w:t>
      </w:r>
      <w:r w:rsidRPr="002F1BF0">
        <w:rPr>
          <w:rFonts w:eastAsiaTheme="minorHAnsi"/>
          <w:bCs/>
          <w:lang w:eastAsia="en-US"/>
        </w:rPr>
        <w:t>= 150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Powierzchnia zabud</w:t>
      </w:r>
      <w:r w:rsidR="006932AA">
        <w:rPr>
          <w:rFonts w:eastAsiaTheme="minorHAnsi"/>
          <w:bCs/>
          <w:lang w:eastAsia="en-US"/>
        </w:rPr>
        <w:t xml:space="preserve">owy budynku E               </w:t>
      </w:r>
      <w:r w:rsidR="006932AA">
        <w:rPr>
          <w:rFonts w:eastAsiaTheme="minorHAnsi"/>
          <w:bCs/>
          <w:lang w:eastAsia="en-US"/>
        </w:rPr>
        <w:tab/>
      </w:r>
      <w:r w:rsidR="006932AA">
        <w:rPr>
          <w:rFonts w:eastAsiaTheme="minorHAnsi"/>
          <w:bCs/>
          <w:lang w:eastAsia="en-US"/>
        </w:rPr>
        <w:tab/>
      </w:r>
      <w:r w:rsidR="006932AA">
        <w:rPr>
          <w:rFonts w:eastAsiaTheme="minorHAnsi"/>
          <w:bCs/>
          <w:lang w:eastAsia="en-US"/>
        </w:rPr>
        <w:tab/>
      </w:r>
      <w:r w:rsidRPr="002F1BF0">
        <w:rPr>
          <w:rFonts w:eastAsiaTheme="minorHAnsi"/>
          <w:bCs/>
          <w:lang w:eastAsia="en-US"/>
        </w:rPr>
        <w:t>867,90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vertAlign w:val="superscript"/>
          <w:lang w:eastAsia="en-US"/>
        </w:rPr>
      </w:pPr>
      <w:r w:rsidRPr="002F1BF0">
        <w:rPr>
          <w:rFonts w:eastAsiaTheme="minorHAnsi"/>
          <w:bCs/>
          <w:lang w:eastAsia="en-US"/>
        </w:rPr>
        <w:t>Powierzchnia zabudow</w:t>
      </w:r>
      <w:r w:rsidR="006932AA">
        <w:rPr>
          <w:rFonts w:eastAsiaTheme="minorHAnsi"/>
          <w:bCs/>
          <w:lang w:eastAsia="en-US"/>
        </w:rPr>
        <w:t xml:space="preserve">y budynku F               </w:t>
      </w:r>
      <w:r w:rsidR="006932AA">
        <w:rPr>
          <w:rFonts w:eastAsiaTheme="minorHAnsi"/>
          <w:bCs/>
          <w:lang w:eastAsia="en-US"/>
        </w:rPr>
        <w:tab/>
      </w:r>
      <w:r w:rsidR="006932AA">
        <w:rPr>
          <w:rFonts w:eastAsiaTheme="minorHAnsi"/>
          <w:bCs/>
          <w:lang w:eastAsia="en-US"/>
        </w:rPr>
        <w:tab/>
      </w:r>
      <w:r w:rsidR="006932AA">
        <w:rPr>
          <w:rFonts w:eastAsiaTheme="minorHAnsi"/>
          <w:bCs/>
          <w:lang w:eastAsia="en-US"/>
        </w:rPr>
        <w:tab/>
        <w:t xml:space="preserve">  </w:t>
      </w:r>
      <w:r w:rsidRPr="002F1BF0">
        <w:rPr>
          <w:rFonts w:eastAsiaTheme="minorHAnsi"/>
          <w:bCs/>
          <w:lang w:eastAsia="en-US"/>
        </w:rPr>
        <w:t>34,42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vertAlign w:val="superscript"/>
          <w:lang w:eastAsia="en-US"/>
        </w:rPr>
      </w:pPr>
    </w:p>
    <w:p w:rsidR="00806071" w:rsidRDefault="00806071" w:rsidP="00AC4B20">
      <w:pPr>
        <w:autoSpaceDE w:val="0"/>
        <w:autoSpaceDN w:val="0"/>
        <w:adjustRightInd w:val="0"/>
        <w:rPr>
          <w:rFonts w:eastAsiaTheme="minorHAnsi"/>
          <w:b/>
          <w:bCs/>
          <w:vertAlign w:val="superscript"/>
          <w:lang w:eastAsia="en-US"/>
        </w:rPr>
      </w:pPr>
    </w:p>
    <w:p w:rsidR="00AC4B20" w:rsidRPr="00AC4B20" w:rsidRDefault="00AC4B20" w:rsidP="00AC4B20">
      <w:pPr>
        <w:autoSpaceDE w:val="0"/>
        <w:autoSpaceDN w:val="0"/>
        <w:adjustRightInd w:val="0"/>
        <w:rPr>
          <w:rFonts w:eastAsiaTheme="minorHAnsi"/>
          <w:b/>
          <w:bCs/>
          <w:vertAlign w:val="superscript"/>
          <w:lang w:eastAsia="en-US"/>
        </w:rPr>
      </w:pPr>
    </w:p>
    <w:tbl>
      <w:tblPr>
        <w:tblW w:w="0" w:type="auto"/>
        <w:tblInd w:w="802" w:type="dxa"/>
        <w:tblLayout w:type="fixed"/>
        <w:tblCellMar>
          <w:left w:w="70" w:type="dxa"/>
          <w:right w:w="70" w:type="dxa"/>
        </w:tblCellMar>
        <w:tblLook w:val="0000" w:firstRow="0" w:lastRow="0" w:firstColumn="0" w:lastColumn="0" w:noHBand="0" w:noVBand="0"/>
      </w:tblPr>
      <w:tblGrid>
        <w:gridCol w:w="5816"/>
        <w:gridCol w:w="3410"/>
      </w:tblGrid>
      <w:tr w:rsidR="00AC4B20" w:rsidRPr="00AC4B20" w:rsidTr="00FB0AAD">
        <w:trPr>
          <w:trHeight w:val="213"/>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Rodzaj zagospodarowania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Powierzchnia(m</w:t>
            </w:r>
            <w:r w:rsidRPr="00AC4B20">
              <w:rPr>
                <w:rFonts w:eastAsiaTheme="minorHAnsi"/>
                <w:b/>
                <w:bCs/>
                <w:vertAlign w:val="superscript"/>
                <w:lang w:eastAsia="en-US"/>
              </w:rPr>
              <w:t>2</w:t>
            </w:r>
            <w:r w:rsidRPr="00AC4B20">
              <w:rPr>
                <w:rFonts w:eastAsiaTheme="minorHAnsi"/>
                <w:b/>
                <w:bCs/>
                <w:lang w:eastAsia="en-US"/>
              </w:rPr>
              <w:t>)</w:t>
            </w:r>
          </w:p>
        </w:tc>
      </w:tr>
      <w:tr w:rsidR="00AC4B20" w:rsidRPr="00AC4B20" w:rsidTr="00FB0AAD">
        <w:trPr>
          <w:trHeight w:val="282"/>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Powierzchnia pod zabudowę</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2</w:t>
            </w:r>
            <w:r w:rsidR="006932AA">
              <w:rPr>
                <w:rFonts w:eastAsiaTheme="minorHAnsi"/>
                <w:lang w:eastAsia="en-US"/>
              </w:rPr>
              <w:t xml:space="preserve"> </w:t>
            </w:r>
            <w:r w:rsidRPr="00AC4B20">
              <w:rPr>
                <w:rFonts w:eastAsiaTheme="minorHAnsi"/>
                <w:lang w:eastAsia="en-US"/>
              </w:rPr>
              <w:t>170,00 – pow. projekt.</w:t>
            </w:r>
          </w:p>
          <w:p w:rsidR="00AC4B20" w:rsidRPr="00AC4B20" w:rsidRDefault="006932AA" w:rsidP="00AC4B20">
            <w:pPr>
              <w:autoSpaceDE w:val="0"/>
              <w:autoSpaceDN w:val="0"/>
              <w:adjustRightInd w:val="0"/>
              <w:rPr>
                <w:rFonts w:eastAsiaTheme="minorHAnsi"/>
                <w:lang w:eastAsia="en-US"/>
              </w:rPr>
            </w:pPr>
            <w:r>
              <w:rPr>
                <w:rFonts w:eastAsiaTheme="minorHAnsi"/>
                <w:lang w:eastAsia="en-US"/>
              </w:rPr>
              <w:t xml:space="preserve">   </w:t>
            </w:r>
            <w:r w:rsidR="00AC4B20" w:rsidRPr="00AC4B20">
              <w:rPr>
                <w:rFonts w:eastAsiaTheme="minorHAnsi"/>
                <w:lang w:eastAsia="en-US"/>
              </w:rPr>
              <w:t xml:space="preserve">902,32 – pow. istniej. </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Powierzchnia utwardzona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      11 170,36</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Powierzchnia biologicznie czynna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5 130,00</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Powierzchnia terenu inwestycji = pow. dz. nr 870/2</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19 430,00</w:t>
            </w:r>
          </w:p>
        </w:tc>
      </w:tr>
    </w:tbl>
    <w:p w:rsidR="00AC4B20" w:rsidRPr="00AC4B20" w:rsidRDefault="00AC4B20" w:rsidP="00AC4B20">
      <w:pPr>
        <w:numPr>
          <w:ilvl w:val="7"/>
          <w:numId w:val="19"/>
        </w:numPr>
        <w:autoSpaceDE w:val="0"/>
        <w:autoSpaceDN w:val="0"/>
        <w:adjustRightInd w:val="0"/>
        <w:rPr>
          <w:rFonts w:eastAsiaTheme="minorHAnsi"/>
          <w:bCs/>
          <w:lang w:eastAsia="en-US"/>
        </w:rPr>
      </w:pPr>
    </w:p>
    <w:p w:rsidR="00AC4B20" w:rsidRPr="00AC4B20" w:rsidRDefault="00AC4B20" w:rsidP="00AC4B20">
      <w:pPr>
        <w:numPr>
          <w:ilvl w:val="7"/>
          <w:numId w:val="19"/>
        </w:numPr>
        <w:autoSpaceDE w:val="0"/>
        <w:autoSpaceDN w:val="0"/>
        <w:adjustRightInd w:val="0"/>
        <w:rPr>
          <w:rFonts w:eastAsiaTheme="minorHAnsi"/>
          <w:bCs/>
          <w:lang w:eastAsia="en-US"/>
        </w:rPr>
      </w:pPr>
      <w:r w:rsidRPr="00AC4B20">
        <w:rPr>
          <w:rFonts w:eastAsiaTheme="minorHAnsi"/>
          <w:b/>
          <w:lang w:eastAsia="en-US"/>
        </w:rPr>
        <w:t>Powierzchnia zabudowy:</w:t>
      </w:r>
    </w:p>
    <w:p w:rsidR="00AC4B20" w:rsidRPr="00AC4B20" w:rsidRDefault="00AC4B20" w:rsidP="00AC4B20">
      <w:pPr>
        <w:numPr>
          <w:ilvl w:val="7"/>
          <w:numId w:val="19"/>
        </w:numPr>
        <w:autoSpaceDE w:val="0"/>
        <w:autoSpaceDN w:val="0"/>
        <w:adjustRightInd w:val="0"/>
        <w:rPr>
          <w:rFonts w:eastAsiaTheme="minorHAnsi"/>
          <w:b/>
          <w:lang w:eastAsia="en-US"/>
        </w:rPr>
      </w:pPr>
      <w:r w:rsidRPr="00AC4B20">
        <w:rPr>
          <w:rFonts w:eastAsiaTheme="minorHAnsi"/>
          <w:bCs/>
          <w:lang w:eastAsia="en-US"/>
        </w:rPr>
        <w:t>3068,32 m</w:t>
      </w:r>
      <w:r w:rsidRPr="00AC4B20">
        <w:rPr>
          <w:rFonts w:eastAsiaTheme="minorHAnsi"/>
          <w:bCs/>
          <w:vertAlign w:val="superscript"/>
          <w:lang w:eastAsia="en-US"/>
        </w:rPr>
        <w:t>2</w:t>
      </w:r>
      <w:r w:rsidRPr="00AC4B20">
        <w:rPr>
          <w:rFonts w:eastAsiaTheme="minorHAnsi"/>
          <w:bCs/>
          <w:lang w:eastAsia="en-US"/>
        </w:rPr>
        <w:t xml:space="preserve"> (</w:t>
      </w:r>
      <w:r w:rsidRPr="00AC4B20">
        <w:rPr>
          <w:rFonts w:eastAsiaTheme="minorHAnsi"/>
          <w:lang w:eastAsia="en-US"/>
        </w:rPr>
        <w:t>z 19 430,0m</w:t>
      </w:r>
      <w:r w:rsidRPr="00AC4B20">
        <w:rPr>
          <w:rFonts w:eastAsiaTheme="minorHAnsi"/>
          <w:vertAlign w:val="superscript"/>
          <w:lang w:eastAsia="en-US"/>
        </w:rPr>
        <w:t>2</w:t>
      </w:r>
      <w:r w:rsidRPr="00AC4B20">
        <w:rPr>
          <w:rFonts w:eastAsiaTheme="minorHAnsi"/>
          <w:bCs/>
          <w:lang w:eastAsia="en-US"/>
        </w:rPr>
        <w:t xml:space="preserve">) co stanowi </w:t>
      </w:r>
      <w:r w:rsidRPr="00AC4B20">
        <w:rPr>
          <w:rFonts w:eastAsiaTheme="minorHAnsi"/>
          <w:b/>
          <w:bCs/>
          <w:lang w:eastAsia="en-US"/>
        </w:rPr>
        <w:t>15,79%</w:t>
      </w:r>
      <w:r w:rsidRPr="00AC4B20">
        <w:rPr>
          <w:rFonts w:eastAsiaTheme="minorHAnsi"/>
          <w:bCs/>
          <w:lang w:eastAsia="en-US"/>
        </w:rPr>
        <w:t xml:space="preserve"> powierzchni terenu inwestycji.</w:t>
      </w:r>
    </w:p>
    <w:p w:rsidR="00AC4B20" w:rsidRPr="00AC4B20" w:rsidRDefault="00AC4B20" w:rsidP="00AC4B20">
      <w:pPr>
        <w:numPr>
          <w:ilvl w:val="7"/>
          <w:numId w:val="19"/>
        </w:numPr>
        <w:autoSpaceDE w:val="0"/>
        <w:autoSpaceDN w:val="0"/>
        <w:adjustRightInd w:val="0"/>
        <w:rPr>
          <w:rFonts w:eastAsiaTheme="minorHAnsi"/>
          <w:b/>
          <w:lang w:eastAsia="en-US"/>
        </w:rPr>
      </w:pPr>
    </w:p>
    <w:p w:rsidR="00AC4B20" w:rsidRPr="00AC4B20" w:rsidRDefault="00AC4B20" w:rsidP="00AC4B20">
      <w:pPr>
        <w:numPr>
          <w:ilvl w:val="7"/>
          <w:numId w:val="19"/>
        </w:numPr>
        <w:autoSpaceDE w:val="0"/>
        <w:autoSpaceDN w:val="0"/>
        <w:adjustRightInd w:val="0"/>
        <w:rPr>
          <w:rFonts w:eastAsiaTheme="minorHAnsi"/>
          <w:b/>
          <w:lang w:eastAsia="en-US"/>
        </w:rPr>
      </w:pPr>
      <w:r w:rsidRPr="00AC4B20">
        <w:rPr>
          <w:rFonts w:eastAsiaTheme="minorHAnsi"/>
          <w:b/>
          <w:lang w:eastAsia="en-US"/>
        </w:rPr>
        <w:t>Powierzchnia terenu biologicznie czynnego:</w:t>
      </w:r>
    </w:p>
    <w:p w:rsidR="00AC4B20" w:rsidRPr="00AC4B20" w:rsidRDefault="00AC4B20" w:rsidP="00AC4B20">
      <w:pPr>
        <w:autoSpaceDE w:val="0"/>
        <w:autoSpaceDN w:val="0"/>
        <w:adjustRightInd w:val="0"/>
        <w:rPr>
          <w:rFonts w:eastAsiaTheme="minorHAnsi"/>
          <w:b/>
          <w:bCs/>
          <w:lang w:eastAsia="en-US"/>
        </w:rPr>
      </w:pPr>
      <w:r w:rsidRPr="00AC4B20">
        <w:rPr>
          <w:rFonts w:eastAsiaTheme="minorHAnsi"/>
          <w:lang w:eastAsia="en-US"/>
        </w:rPr>
        <w:t>5191,32 m</w:t>
      </w:r>
      <w:r w:rsidRPr="00AC4B20">
        <w:rPr>
          <w:rFonts w:eastAsiaTheme="minorHAnsi"/>
          <w:vertAlign w:val="superscript"/>
          <w:lang w:eastAsia="en-US"/>
        </w:rPr>
        <w:t>2</w:t>
      </w:r>
      <w:r w:rsidRPr="00AC4B20">
        <w:rPr>
          <w:rFonts w:eastAsiaTheme="minorHAnsi"/>
          <w:lang w:eastAsia="en-US"/>
        </w:rPr>
        <w:t xml:space="preserve"> (z 19 430,0 m</w:t>
      </w:r>
      <w:r w:rsidRPr="00AC4B20">
        <w:rPr>
          <w:rFonts w:eastAsiaTheme="minorHAnsi"/>
          <w:vertAlign w:val="superscript"/>
          <w:lang w:eastAsia="en-US"/>
        </w:rPr>
        <w:t>2</w:t>
      </w:r>
      <w:r w:rsidRPr="00AC4B20">
        <w:rPr>
          <w:rFonts w:eastAsiaTheme="minorHAnsi"/>
          <w:lang w:eastAsia="en-US"/>
        </w:rPr>
        <w:t>) co stanowi</w:t>
      </w:r>
      <w:r w:rsidRPr="00AC4B20">
        <w:rPr>
          <w:rFonts w:eastAsiaTheme="minorHAnsi"/>
          <w:b/>
          <w:bCs/>
          <w:lang w:eastAsia="en-US"/>
        </w:rPr>
        <w:t xml:space="preserve"> 26,72%</w:t>
      </w:r>
      <w:r w:rsidRPr="00AC4B20">
        <w:rPr>
          <w:rFonts w:eastAsiaTheme="minorHAnsi"/>
          <w:lang w:eastAsia="en-US"/>
        </w:rPr>
        <w:t xml:space="preserve"> powierzchni </w:t>
      </w:r>
      <w:r w:rsidRPr="00AC4B20">
        <w:rPr>
          <w:rFonts w:eastAsiaTheme="minorHAnsi"/>
          <w:bCs/>
          <w:lang w:eastAsia="en-US"/>
        </w:rPr>
        <w:t>terenu inwestycji kubaturowej.</w:t>
      </w:r>
    </w:p>
    <w:p w:rsidR="00AC4B20" w:rsidRPr="00AC4B20" w:rsidRDefault="00AC4B20" w:rsidP="00AC4B20">
      <w:pPr>
        <w:numPr>
          <w:ilvl w:val="7"/>
          <w:numId w:val="19"/>
        </w:numPr>
        <w:autoSpaceDE w:val="0"/>
        <w:autoSpaceDN w:val="0"/>
        <w:adjustRightInd w:val="0"/>
        <w:rPr>
          <w:rFonts w:eastAsiaTheme="minorHAnsi"/>
          <w:b/>
          <w:bCs/>
          <w:lang w:eastAsia="en-US"/>
        </w:rPr>
      </w:pPr>
    </w:p>
    <w:tbl>
      <w:tblPr>
        <w:tblW w:w="0" w:type="auto"/>
        <w:tblInd w:w="802" w:type="dxa"/>
        <w:tblLayout w:type="fixed"/>
        <w:tblCellMar>
          <w:left w:w="70" w:type="dxa"/>
          <w:right w:w="70" w:type="dxa"/>
        </w:tblCellMar>
        <w:tblLook w:val="0000" w:firstRow="0" w:lastRow="0" w:firstColumn="0" w:lastColumn="0" w:noHBand="0" w:noVBand="0"/>
      </w:tblPr>
      <w:tblGrid>
        <w:gridCol w:w="5816"/>
        <w:gridCol w:w="3410"/>
      </w:tblGrid>
      <w:tr w:rsidR="00AC4B20" w:rsidRPr="00AC4B20" w:rsidTr="00FB0AAD">
        <w:trPr>
          <w:trHeight w:val="213"/>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Rodzaj zagospodarowania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 xml:space="preserve"> Powierzchnia (m</w:t>
            </w:r>
            <w:r w:rsidRPr="00AC4B20">
              <w:rPr>
                <w:rFonts w:eastAsiaTheme="minorHAnsi"/>
                <w:b/>
                <w:bCs/>
                <w:vertAlign w:val="superscript"/>
                <w:lang w:eastAsia="en-US"/>
              </w:rPr>
              <w:t>2</w:t>
            </w:r>
            <w:r w:rsidRPr="00AC4B20">
              <w:rPr>
                <w:rFonts w:eastAsiaTheme="minorHAnsi"/>
                <w:b/>
                <w:bCs/>
                <w:lang w:eastAsia="en-US"/>
              </w:rPr>
              <w:t>)</w:t>
            </w:r>
          </w:p>
        </w:tc>
      </w:tr>
      <w:tr w:rsidR="00AC4B20" w:rsidRPr="00AC4B20" w:rsidTr="00FB0AAD">
        <w:trPr>
          <w:trHeight w:val="282"/>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Powierzchnia terenu inwestycji = pow. dz. nr 870/2</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 xml:space="preserve"> 19 430,00</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Całkowite zainwestowanie (pow. targowiska)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14 218,00</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Pow. handlowa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7 245,7 (50,96% </w:t>
            </w:r>
            <w:proofErr w:type="spellStart"/>
            <w:r w:rsidRPr="00AC4B20">
              <w:rPr>
                <w:rFonts w:eastAsiaTheme="minorHAnsi"/>
                <w:lang w:eastAsia="en-US"/>
              </w:rPr>
              <w:t>pow.targowiska</w:t>
            </w:r>
            <w:proofErr w:type="spellEnd"/>
            <w:r w:rsidRPr="00AC4B20">
              <w:rPr>
                <w:rFonts w:eastAsiaTheme="minorHAnsi"/>
                <w:lang w:eastAsia="en-US"/>
              </w:rPr>
              <w:t>)</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 handlowa zadaszona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 3 733,9 (51,53% pow. handlowej)</w:t>
            </w:r>
          </w:p>
        </w:tc>
      </w:tr>
    </w:tbl>
    <w:p w:rsidR="0004166B" w:rsidRPr="00AA3AED" w:rsidRDefault="0004166B" w:rsidP="00AC2270">
      <w:pPr>
        <w:autoSpaceDE w:val="0"/>
        <w:autoSpaceDN w:val="0"/>
        <w:adjustRightInd w:val="0"/>
        <w:rPr>
          <w:rFonts w:eastAsiaTheme="minorHAnsi"/>
          <w:lang w:eastAsia="en-US"/>
        </w:rPr>
      </w:pPr>
    </w:p>
    <w:p w:rsidR="00A90BED" w:rsidRDefault="00A90BED" w:rsidP="00C021F1">
      <w:pPr>
        <w:autoSpaceDE w:val="0"/>
        <w:autoSpaceDN w:val="0"/>
        <w:adjustRightInd w:val="0"/>
        <w:jc w:val="both"/>
        <w:rPr>
          <w:rFonts w:eastAsia="TT56o00"/>
        </w:rPr>
      </w:pPr>
    </w:p>
    <w:p w:rsidR="00C021F1" w:rsidRDefault="00C021F1" w:rsidP="0005003A">
      <w:pPr>
        <w:autoSpaceDE w:val="0"/>
        <w:autoSpaceDN w:val="0"/>
        <w:adjustRightInd w:val="0"/>
        <w:rPr>
          <w:rFonts w:eastAsia="TT56o00"/>
        </w:rPr>
      </w:pPr>
    </w:p>
    <w:p w:rsidR="003B05C3" w:rsidRPr="002C0F9D" w:rsidRDefault="00C53021" w:rsidP="00FA479C">
      <w:pPr>
        <w:pStyle w:val="Akapitzlist"/>
        <w:numPr>
          <w:ilvl w:val="0"/>
          <w:numId w:val="1"/>
        </w:numPr>
        <w:autoSpaceDE w:val="0"/>
        <w:autoSpaceDN w:val="0"/>
        <w:adjustRightInd w:val="0"/>
        <w:ind w:left="426" w:hanging="426"/>
        <w:rPr>
          <w:rFonts w:eastAsia="TT56o00"/>
          <w:b/>
        </w:rPr>
      </w:pPr>
      <w:r w:rsidRPr="002C0F9D">
        <w:rPr>
          <w:rFonts w:eastAsia="TT56o00"/>
          <w:b/>
        </w:rPr>
        <w:t>Projektowane zagospodarowanie działki</w:t>
      </w:r>
    </w:p>
    <w:p w:rsidR="00EE3C63" w:rsidRDefault="002F1BF0" w:rsidP="008E1133">
      <w:pPr>
        <w:pStyle w:val="Akapitzlist"/>
        <w:autoSpaceDE w:val="0"/>
        <w:autoSpaceDN w:val="0"/>
        <w:adjustRightInd w:val="0"/>
        <w:ind w:left="0"/>
        <w:jc w:val="both"/>
      </w:pPr>
      <w:r>
        <w:t>Przedmiot zamówienia obejmuje modernizację</w:t>
      </w:r>
      <w:r w:rsidR="00EE3C63" w:rsidRPr="00EE3C63">
        <w:t xml:space="preserve"> </w:t>
      </w:r>
      <w:r w:rsidR="00EE3C63">
        <w:t xml:space="preserve">istniejącej hali handlowej oraz </w:t>
      </w:r>
      <w:r w:rsidR="00EE3C63" w:rsidRPr="00EE3C63">
        <w:t>budow</w:t>
      </w:r>
      <w:r>
        <w:t>ę</w:t>
      </w:r>
      <w:r w:rsidR="00EE3C63" w:rsidRPr="00EE3C63">
        <w:t xml:space="preserve"> 10 obiektów hal handlowych, w tym jednej (D1) z wydzieloną stróżówką. W halach znajdują się wyznaczone, zadaszone stanowiska do handlu. Projektowane hale są obiektami parterowymi, niepodpiwniczonymi, z dachami dwuspadowymi. Na terenie inwestycji zlokalizowany jest istniejący budynek sanitariatów ogólnodostępnych. Obiekty oraz pozostałe elementy zagospodarowania takie jak np. zbiorniki na odpady komunalne, lokalizowane są w przepisowych odległościach od granicy działki, okien budynków mieszkalnych sąsiadujących z inwestycją, elementów infrastruktury technicznej oraz wzajemnie względem siebie, wg załączonego projektu zagospodarowania terenu. </w:t>
      </w:r>
    </w:p>
    <w:p w:rsidR="00EE3C63" w:rsidRPr="00AA3AED" w:rsidRDefault="00EE3C63" w:rsidP="008E1133">
      <w:pPr>
        <w:pStyle w:val="Akapitzlist"/>
        <w:autoSpaceDE w:val="0"/>
        <w:autoSpaceDN w:val="0"/>
        <w:adjustRightInd w:val="0"/>
        <w:ind w:left="0"/>
        <w:jc w:val="both"/>
        <w:rPr>
          <w:rFonts w:eastAsia="TT56o00"/>
        </w:rPr>
      </w:pPr>
    </w:p>
    <w:p w:rsidR="003B05C3" w:rsidRPr="002F1BF0" w:rsidRDefault="00C53021" w:rsidP="00FA479C">
      <w:pPr>
        <w:pStyle w:val="Akapitzlist"/>
        <w:numPr>
          <w:ilvl w:val="0"/>
          <w:numId w:val="1"/>
        </w:numPr>
        <w:autoSpaceDE w:val="0"/>
        <w:autoSpaceDN w:val="0"/>
        <w:adjustRightInd w:val="0"/>
        <w:ind w:left="426" w:hanging="426"/>
        <w:jc w:val="both"/>
        <w:rPr>
          <w:b/>
        </w:rPr>
      </w:pPr>
      <w:r>
        <w:rPr>
          <w:b/>
        </w:rPr>
        <w:t>M</w:t>
      </w:r>
      <w:r w:rsidRPr="002F1BF0">
        <w:rPr>
          <w:b/>
        </w:rPr>
        <w:t>iejsca postojowe</w:t>
      </w:r>
    </w:p>
    <w:p w:rsidR="003B05C3" w:rsidRDefault="00EE3C63" w:rsidP="008E1133">
      <w:pPr>
        <w:pStyle w:val="Akapitzlist"/>
        <w:autoSpaceDE w:val="0"/>
        <w:autoSpaceDN w:val="0"/>
        <w:adjustRightInd w:val="0"/>
        <w:ind w:left="0"/>
        <w:jc w:val="both"/>
      </w:pPr>
      <w:r w:rsidRPr="00EE3C63">
        <w:rPr>
          <w:rFonts w:eastAsia="TT56o00"/>
        </w:rPr>
        <w:t xml:space="preserve">Dla klientów placu targowego zostały zapewnione miejsca postojowe wzdłuż ul. </w:t>
      </w:r>
      <w:r w:rsidR="005919A7">
        <w:rPr>
          <w:rFonts w:eastAsia="TT56o00"/>
        </w:rPr>
        <w:br/>
      </w:r>
      <w:r w:rsidRPr="00EE3C63">
        <w:rPr>
          <w:rFonts w:eastAsia="TT56o00"/>
        </w:rPr>
        <w:t xml:space="preserve">M. Kopernika (dz. drogowa nr 800) – bez zmian w stosunku do stanu istniejącego. </w:t>
      </w:r>
      <w:r>
        <w:rPr>
          <w:rFonts w:eastAsia="TT56o00"/>
        </w:rPr>
        <w:t>Zap</w:t>
      </w:r>
      <w:r w:rsidRPr="00EE3C63">
        <w:rPr>
          <w:rFonts w:eastAsia="TT56o00"/>
        </w:rPr>
        <w:t>rojekt</w:t>
      </w:r>
      <w:r>
        <w:rPr>
          <w:rFonts w:eastAsia="TT56o00"/>
        </w:rPr>
        <w:t xml:space="preserve">owano </w:t>
      </w:r>
      <w:r w:rsidRPr="00EE3C63">
        <w:rPr>
          <w:rFonts w:eastAsia="TT56o00"/>
        </w:rPr>
        <w:t>trzy miejsca przeznaczone do korzystania przez osoby niepełnosprawne w obrębie placu.</w:t>
      </w:r>
      <w:r w:rsidR="003B05C3" w:rsidRPr="00AA3AED">
        <w:t xml:space="preserve"> </w:t>
      </w:r>
    </w:p>
    <w:p w:rsidR="003B05C3" w:rsidRPr="00AA3AED" w:rsidRDefault="003B05C3" w:rsidP="008E1133">
      <w:pPr>
        <w:autoSpaceDE w:val="0"/>
        <w:autoSpaceDN w:val="0"/>
        <w:adjustRightInd w:val="0"/>
        <w:jc w:val="both"/>
      </w:pPr>
    </w:p>
    <w:p w:rsidR="00806071" w:rsidRPr="00FA479C" w:rsidRDefault="00C53021" w:rsidP="00FA479C">
      <w:pPr>
        <w:pStyle w:val="Akapitzlist"/>
        <w:numPr>
          <w:ilvl w:val="0"/>
          <w:numId w:val="1"/>
        </w:numPr>
        <w:autoSpaceDE w:val="0"/>
        <w:autoSpaceDN w:val="0"/>
        <w:adjustRightInd w:val="0"/>
        <w:ind w:left="426"/>
        <w:jc w:val="both"/>
        <w:rPr>
          <w:b/>
        </w:rPr>
      </w:pPr>
      <w:r w:rsidRPr="00FA479C">
        <w:rPr>
          <w:b/>
        </w:rPr>
        <w:t>Zasilanie budynku w media</w:t>
      </w:r>
    </w:p>
    <w:p w:rsidR="00FA479C" w:rsidRPr="00FA479C" w:rsidRDefault="00FA479C" w:rsidP="00FA479C">
      <w:pPr>
        <w:pStyle w:val="Akapitzlist"/>
        <w:autoSpaceDE w:val="0"/>
        <w:autoSpaceDN w:val="0"/>
        <w:adjustRightInd w:val="0"/>
        <w:jc w:val="both"/>
        <w:rPr>
          <w:b/>
        </w:rPr>
      </w:pPr>
    </w:p>
    <w:p w:rsidR="00806071" w:rsidRPr="002F1BF0" w:rsidRDefault="00806071" w:rsidP="008E1133">
      <w:pPr>
        <w:autoSpaceDE w:val="0"/>
        <w:autoSpaceDN w:val="0"/>
        <w:adjustRightInd w:val="0"/>
        <w:jc w:val="both"/>
        <w:rPr>
          <w:b/>
        </w:rPr>
      </w:pPr>
      <w:r>
        <w:t xml:space="preserve"> </w:t>
      </w:r>
      <w:r w:rsidR="002F1BF0">
        <w:t xml:space="preserve">- </w:t>
      </w:r>
      <w:r w:rsidRPr="002F1BF0">
        <w:rPr>
          <w:b/>
        </w:rPr>
        <w:t>Zaopatrzenie w wodę i odprowadzenie ścieków:</w:t>
      </w:r>
    </w:p>
    <w:p w:rsidR="00806071" w:rsidRDefault="00806071" w:rsidP="008E1133">
      <w:pPr>
        <w:pStyle w:val="Akapitzlist"/>
        <w:autoSpaceDE w:val="0"/>
        <w:autoSpaceDN w:val="0"/>
        <w:adjustRightInd w:val="0"/>
        <w:ind w:left="0"/>
        <w:jc w:val="both"/>
      </w:pPr>
      <w:r>
        <w:t xml:space="preserve">Dostawa wody do stróżówki z istniejącej sieci wodociągowej, poprzez projektowane przyłącze. Odprowadzenie ścieków sanitarnych z obiektu do istniejącej sieci kanalizacji sanitarnej, poprzez projektowane przyłącze. Przyłącza wodociągowe i kanalizacyjne będą realizowane wg odrębnego opracowania na podstawie art. 29a Ustawy Prawo Budowlane. </w:t>
      </w:r>
    </w:p>
    <w:p w:rsidR="00806071" w:rsidRDefault="00806071" w:rsidP="00806071">
      <w:pPr>
        <w:pStyle w:val="Akapitzlist"/>
        <w:autoSpaceDE w:val="0"/>
        <w:autoSpaceDN w:val="0"/>
        <w:adjustRightInd w:val="0"/>
        <w:ind w:left="284" w:hanging="284"/>
      </w:pPr>
    </w:p>
    <w:p w:rsidR="00806071" w:rsidRPr="002F1BF0" w:rsidRDefault="00806071" w:rsidP="00806071">
      <w:pPr>
        <w:pStyle w:val="Akapitzlist"/>
        <w:autoSpaceDE w:val="0"/>
        <w:autoSpaceDN w:val="0"/>
        <w:adjustRightInd w:val="0"/>
        <w:ind w:left="284" w:hanging="284"/>
        <w:rPr>
          <w:b/>
        </w:rPr>
      </w:pPr>
      <w:r>
        <w:t xml:space="preserve"> </w:t>
      </w:r>
      <w:r w:rsidR="002F1BF0">
        <w:t xml:space="preserve">- </w:t>
      </w:r>
      <w:r w:rsidRPr="002F1BF0">
        <w:rPr>
          <w:b/>
        </w:rPr>
        <w:t>Zaopatrzenie w energię elektryczną</w:t>
      </w:r>
      <w:r w:rsidR="00A83933">
        <w:rPr>
          <w:b/>
        </w:rPr>
        <w:t xml:space="preserve"> i w energię cieplną</w:t>
      </w:r>
      <w:r w:rsidRPr="002F1BF0">
        <w:rPr>
          <w:b/>
        </w:rPr>
        <w:t>:</w:t>
      </w:r>
    </w:p>
    <w:p w:rsidR="00806071" w:rsidRDefault="00806071" w:rsidP="008E1133">
      <w:pPr>
        <w:pStyle w:val="Akapitzlist"/>
        <w:autoSpaceDE w:val="0"/>
        <w:autoSpaceDN w:val="0"/>
        <w:adjustRightInd w:val="0"/>
        <w:ind w:left="284" w:hanging="284"/>
        <w:jc w:val="both"/>
      </w:pPr>
      <w:r>
        <w:t>Dostawa energii elektrycznej do obiektów z istniejąc</w:t>
      </w:r>
      <w:r w:rsidR="002F1BF0">
        <w:t>e</w:t>
      </w:r>
      <w:r>
        <w:t>go przyłącza, wg projektu instalacji elektrycznej.</w:t>
      </w:r>
    </w:p>
    <w:p w:rsidR="00A83933" w:rsidRDefault="00806071" w:rsidP="008E1133">
      <w:pPr>
        <w:pStyle w:val="Akapitzlist"/>
        <w:autoSpaceDE w:val="0"/>
        <w:autoSpaceDN w:val="0"/>
        <w:adjustRightInd w:val="0"/>
        <w:ind w:left="0"/>
        <w:jc w:val="both"/>
      </w:pPr>
      <w:r>
        <w:t>Zaopatrzenie w energię cieplną stróżówki - ogrzewanie w oparciu o energię elektryczną – z zastosowaniem grzejników elektrycznych, wg projektu branży  i elektr</w:t>
      </w:r>
      <w:r w:rsidR="00A83933">
        <w:t>ycznej z istniejącego przyłącza.</w:t>
      </w:r>
    </w:p>
    <w:p w:rsidR="003B05C3" w:rsidRPr="00AA3AED" w:rsidRDefault="00A83933" w:rsidP="008E1133">
      <w:pPr>
        <w:pStyle w:val="Akapitzlist"/>
        <w:autoSpaceDE w:val="0"/>
        <w:autoSpaceDN w:val="0"/>
        <w:adjustRightInd w:val="0"/>
        <w:ind w:left="0"/>
        <w:jc w:val="both"/>
        <w:rPr>
          <w:rFonts w:eastAsia="TT56o00"/>
        </w:rPr>
      </w:pPr>
      <w:r>
        <w:rPr>
          <w:rFonts w:eastAsia="TT56o00"/>
        </w:rPr>
        <w:t>D</w:t>
      </w:r>
      <w:r w:rsidR="00942BE3" w:rsidRPr="00AA3AED">
        <w:rPr>
          <w:rFonts w:eastAsia="TT56o00"/>
        </w:rPr>
        <w:t xml:space="preserve">odatkowo projektuje się </w:t>
      </w:r>
      <w:r w:rsidR="003B05C3" w:rsidRPr="00AA3AED">
        <w:rPr>
          <w:rFonts w:eastAsia="TT56o00"/>
        </w:rPr>
        <w:t>instalację fotowoltaiczną o mocy 15kW</w:t>
      </w:r>
      <w:r w:rsidR="003724DA">
        <w:rPr>
          <w:rFonts w:eastAsia="TT56o00"/>
        </w:rPr>
        <w:t>p</w:t>
      </w:r>
      <w:r w:rsidR="003B05C3" w:rsidRPr="00AA3AED">
        <w:rPr>
          <w:rFonts w:eastAsia="TT56o00"/>
        </w:rPr>
        <w:t xml:space="preserve">. </w:t>
      </w:r>
    </w:p>
    <w:p w:rsidR="004C42DF" w:rsidRPr="00AA3AED" w:rsidRDefault="004C42DF" w:rsidP="008E1133">
      <w:pPr>
        <w:autoSpaceDE w:val="0"/>
        <w:jc w:val="both"/>
      </w:pPr>
    </w:p>
    <w:p w:rsidR="00FA479C" w:rsidRPr="00FA479C" w:rsidRDefault="00C53021" w:rsidP="00FA479C">
      <w:pPr>
        <w:pStyle w:val="Akapitzlist"/>
        <w:numPr>
          <w:ilvl w:val="0"/>
          <w:numId w:val="1"/>
        </w:numPr>
        <w:autoSpaceDE w:val="0"/>
        <w:autoSpaceDN w:val="0"/>
        <w:adjustRightInd w:val="0"/>
        <w:ind w:left="426"/>
        <w:jc w:val="both"/>
        <w:rPr>
          <w:b/>
          <w:color w:val="00000A"/>
        </w:rPr>
      </w:pPr>
      <w:r w:rsidRPr="00FA479C">
        <w:rPr>
          <w:b/>
          <w:color w:val="00000A"/>
        </w:rPr>
        <w:t>Dodatkowe dane dla działki.</w:t>
      </w:r>
    </w:p>
    <w:p w:rsidR="00806071" w:rsidRDefault="00806071" w:rsidP="008E1133">
      <w:pPr>
        <w:autoSpaceDE w:val="0"/>
        <w:autoSpaceDN w:val="0"/>
        <w:adjustRightInd w:val="0"/>
        <w:jc w:val="both"/>
        <w:rPr>
          <w:color w:val="00000A"/>
        </w:rPr>
      </w:pPr>
      <w:r w:rsidRPr="00806071">
        <w:rPr>
          <w:color w:val="00000A"/>
        </w:rPr>
        <w:t>Przedmiotowa działka nie jest wpisana do rejestru zabytków i znajduje się poza terenem objętym ochroną konserwatorską. Na przedmiotowym terenie nie występują, podlegające ochronie zabytki i dobra kultury współczesnej.</w:t>
      </w:r>
    </w:p>
    <w:p w:rsidR="001B58F6" w:rsidRPr="006932AA" w:rsidRDefault="001B58F6" w:rsidP="006932AA">
      <w:pPr>
        <w:autoSpaceDE w:val="0"/>
        <w:autoSpaceDN w:val="0"/>
        <w:adjustRightInd w:val="0"/>
        <w:jc w:val="both"/>
      </w:pPr>
    </w:p>
    <w:p w:rsidR="0020033D" w:rsidRPr="006932AA" w:rsidRDefault="009921CA" w:rsidP="0020033D">
      <w:pPr>
        <w:autoSpaceDE w:val="0"/>
        <w:autoSpaceDN w:val="0"/>
        <w:adjustRightInd w:val="0"/>
        <w:rPr>
          <w:rFonts w:eastAsiaTheme="minorHAnsi"/>
          <w:b/>
          <w:lang w:eastAsia="en-US"/>
        </w:rPr>
      </w:pPr>
      <w:r w:rsidRPr="002C0F9D">
        <w:rPr>
          <w:rFonts w:eastAsiaTheme="minorHAnsi"/>
          <w:lang w:eastAsia="en-US"/>
        </w:rPr>
        <w:t>9.</w:t>
      </w:r>
      <w:r w:rsidR="002C0F9D">
        <w:rPr>
          <w:rFonts w:eastAsiaTheme="minorHAnsi"/>
          <w:b/>
          <w:lang w:eastAsia="en-US"/>
        </w:rPr>
        <w:t xml:space="preserve">  </w:t>
      </w:r>
      <w:r w:rsidR="00C53021">
        <w:rPr>
          <w:rFonts w:eastAsiaTheme="minorHAnsi"/>
          <w:b/>
          <w:lang w:eastAsia="en-US"/>
        </w:rPr>
        <w:t>O</w:t>
      </w:r>
      <w:r w:rsidR="00C53021" w:rsidRPr="006932AA">
        <w:rPr>
          <w:rFonts w:eastAsiaTheme="minorHAnsi"/>
          <w:b/>
          <w:lang w:eastAsia="en-US"/>
        </w:rPr>
        <w:t>gólne wymagania dotyczące robót</w:t>
      </w:r>
    </w:p>
    <w:p w:rsidR="0020033D" w:rsidRPr="006932AA" w:rsidRDefault="0020033D" w:rsidP="0020033D">
      <w:pPr>
        <w:autoSpaceDE w:val="0"/>
        <w:autoSpaceDN w:val="0"/>
        <w:adjustRightInd w:val="0"/>
        <w:rPr>
          <w:rFonts w:eastAsia="TT50o00"/>
          <w:lang w:eastAsia="en-US"/>
        </w:rPr>
      </w:pPr>
      <w:r w:rsidRPr="006932AA">
        <w:rPr>
          <w:rFonts w:eastAsia="TT50o00"/>
          <w:i/>
          <w:lang w:eastAsia="en-US"/>
        </w:rPr>
        <w:t>Roboty przygotowawcze</w:t>
      </w:r>
      <w:r w:rsidRPr="006932AA">
        <w:rPr>
          <w:rFonts w:eastAsia="TT50o00"/>
          <w:lang w:eastAsia="en-US"/>
        </w:rPr>
        <w:t>.</w:t>
      </w:r>
    </w:p>
    <w:p w:rsidR="0020033D" w:rsidRPr="006932AA" w:rsidRDefault="0020033D" w:rsidP="00364187">
      <w:pPr>
        <w:autoSpaceDE w:val="0"/>
        <w:autoSpaceDN w:val="0"/>
        <w:adjustRightInd w:val="0"/>
        <w:jc w:val="both"/>
        <w:rPr>
          <w:rFonts w:eastAsia="TT50o00"/>
          <w:lang w:eastAsia="en-US"/>
        </w:rPr>
      </w:pPr>
      <w:r w:rsidRPr="006932AA">
        <w:rPr>
          <w:rFonts w:eastAsia="TT50o00"/>
          <w:lang w:eastAsia="en-US"/>
        </w:rPr>
        <w:t xml:space="preserve">Przed przystąpieniem do robot rozbiórkowych należy: teren ogrodzić i oznakować zgodnie </w:t>
      </w:r>
      <w:r w:rsidR="00886237" w:rsidRPr="006932AA">
        <w:rPr>
          <w:rFonts w:eastAsia="TT50o00"/>
          <w:lang w:eastAsia="en-US"/>
        </w:rPr>
        <w:t xml:space="preserve">             z </w:t>
      </w:r>
      <w:r w:rsidRPr="006932AA">
        <w:rPr>
          <w:rFonts w:eastAsia="TT50o00"/>
          <w:lang w:eastAsia="en-US"/>
        </w:rPr>
        <w:t>wymogami BHP, zdemontować istniejące zasilanie w energię elektryczną, instalację</w:t>
      </w:r>
      <w:r w:rsidR="00874233" w:rsidRPr="006932AA">
        <w:rPr>
          <w:rFonts w:eastAsia="TT50o00"/>
          <w:lang w:eastAsia="en-US"/>
        </w:rPr>
        <w:t xml:space="preserve"> </w:t>
      </w:r>
      <w:r w:rsidRPr="006932AA">
        <w:rPr>
          <w:rFonts w:eastAsia="TT50o00"/>
          <w:lang w:eastAsia="en-US"/>
        </w:rPr>
        <w:t>teletechniczną, wodnokanalizacyjną oraz wszelkie istniejące uzbrojenie.</w:t>
      </w:r>
    </w:p>
    <w:p w:rsidR="0020033D" w:rsidRPr="006932AA" w:rsidRDefault="0020033D" w:rsidP="00364187">
      <w:pPr>
        <w:autoSpaceDE w:val="0"/>
        <w:autoSpaceDN w:val="0"/>
        <w:adjustRightInd w:val="0"/>
        <w:jc w:val="both"/>
        <w:rPr>
          <w:rFonts w:eastAsia="TT50o00"/>
          <w:lang w:eastAsia="en-US"/>
        </w:rPr>
      </w:pPr>
      <w:r w:rsidRPr="006932AA">
        <w:rPr>
          <w:rFonts w:eastAsia="TT50o00"/>
          <w:i/>
          <w:lang w:eastAsia="en-US"/>
        </w:rPr>
        <w:t>Roboty rozbiórkowe</w:t>
      </w:r>
      <w:r w:rsidRPr="006932AA">
        <w:rPr>
          <w:rFonts w:eastAsia="TT50o00"/>
          <w:lang w:eastAsia="en-US"/>
        </w:rPr>
        <w:t>.</w:t>
      </w:r>
    </w:p>
    <w:p w:rsidR="0020033D" w:rsidRPr="006932AA" w:rsidRDefault="0020033D" w:rsidP="00364187">
      <w:pPr>
        <w:autoSpaceDE w:val="0"/>
        <w:autoSpaceDN w:val="0"/>
        <w:adjustRightInd w:val="0"/>
        <w:jc w:val="both"/>
        <w:rPr>
          <w:rFonts w:eastAsia="TT50o00"/>
          <w:lang w:eastAsia="en-US"/>
        </w:rPr>
      </w:pPr>
      <w:r w:rsidRPr="006932AA">
        <w:rPr>
          <w:rFonts w:eastAsia="TT50o00"/>
          <w:lang w:eastAsia="en-US"/>
        </w:rPr>
        <w:t>Roboty prowadzić zgodnie z rozporządzeniem Ministra Infrastruktury z dnia 06.02.2003 r .</w:t>
      </w:r>
      <w:r w:rsidR="00364187" w:rsidRPr="006932AA">
        <w:rPr>
          <w:rFonts w:eastAsia="TT50o00"/>
          <w:lang w:eastAsia="en-US"/>
        </w:rPr>
        <w:t xml:space="preserve"> </w:t>
      </w:r>
      <w:r w:rsidRPr="006932AA">
        <w:rPr>
          <w:rFonts w:eastAsia="TT50o00"/>
          <w:lang w:eastAsia="en-US"/>
        </w:rPr>
        <w:t>(Dz.U. Nr</w:t>
      </w:r>
      <w:r w:rsidR="006932AA" w:rsidRPr="006932AA">
        <w:rPr>
          <w:rFonts w:eastAsia="TT50o00"/>
          <w:lang w:eastAsia="en-US"/>
        </w:rPr>
        <w:t xml:space="preserve"> </w:t>
      </w:r>
      <w:r w:rsidRPr="006932AA">
        <w:rPr>
          <w:rFonts w:eastAsia="TT50o00"/>
          <w:lang w:eastAsia="en-US"/>
        </w:rPr>
        <w:t>47 poz. 401) w sprawie bezpieczeństwa i higieny pracy podczas wykonywania</w:t>
      </w:r>
      <w:r w:rsidR="00364187" w:rsidRPr="006932AA">
        <w:rPr>
          <w:rFonts w:eastAsia="TT50o00"/>
          <w:lang w:eastAsia="en-US"/>
        </w:rPr>
        <w:t xml:space="preserve"> </w:t>
      </w:r>
      <w:r w:rsidRPr="006932AA">
        <w:rPr>
          <w:rFonts w:eastAsia="TT50o00"/>
          <w:lang w:eastAsia="en-US"/>
        </w:rPr>
        <w:t>robot budowlanych. Roboty rozbiórkowe będą prowadzone w czynnym obiekcie.</w:t>
      </w:r>
    </w:p>
    <w:p w:rsidR="0020033D" w:rsidRPr="006932AA" w:rsidRDefault="0020033D" w:rsidP="00364187">
      <w:pPr>
        <w:autoSpaceDE w:val="0"/>
        <w:autoSpaceDN w:val="0"/>
        <w:adjustRightInd w:val="0"/>
        <w:jc w:val="both"/>
        <w:rPr>
          <w:rFonts w:eastAsia="TT50o00"/>
          <w:lang w:eastAsia="en-US"/>
        </w:rPr>
      </w:pPr>
      <w:r w:rsidRPr="006932AA">
        <w:rPr>
          <w:rFonts w:eastAsia="TT50o00"/>
          <w:lang w:eastAsia="en-US"/>
        </w:rPr>
        <w:t>Rozpoczęcie prac nastąpi po zabezpieczeniu rejonu prac tzn.  po wykonaniu robót zabezpieczających.</w:t>
      </w:r>
    </w:p>
    <w:p w:rsidR="00061364" w:rsidRPr="00BF67FB" w:rsidRDefault="00061364" w:rsidP="00061364">
      <w:pPr>
        <w:pStyle w:val="Akapitzlist"/>
        <w:autoSpaceDE w:val="0"/>
        <w:ind w:left="426"/>
        <w:jc w:val="both"/>
        <w:rPr>
          <w:b/>
          <w:highlight w:val="yellow"/>
        </w:rPr>
      </w:pPr>
    </w:p>
    <w:p w:rsidR="00DF7BBD" w:rsidRPr="006932AA" w:rsidRDefault="009921CA" w:rsidP="006932AA">
      <w:pPr>
        <w:autoSpaceDE w:val="0"/>
        <w:jc w:val="both"/>
        <w:rPr>
          <w:b/>
        </w:rPr>
      </w:pPr>
      <w:r w:rsidRPr="002C0F9D">
        <w:t>10.</w:t>
      </w:r>
      <w:r w:rsidR="002C0F9D">
        <w:rPr>
          <w:b/>
        </w:rPr>
        <w:t xml:space="preserve">   </w:t>
      </w:r>
      <w:r w:rsidR="00C53021">
        <w:rPr>
          <w:b/>
        </w:rPr>
        <w:t>Z</w:t>
      </w:r>
      <w:r w:rsidR="00C53021" w:rsidRPr="006932AA">
        <w:rPr>
          <w:b/>
        </w:rPr>
        <w:t>adanie inwestycyjne</w:t>
      </w:r>
    </w:p>
    <w:p w:rsidR="006932AA" w:rsidRPr="006932AA" w:rsidRDefault="006932AA" w:rsidP="006932AA">
      <w:pPr>
        <w:pStyle w:val="Akapitzlist"/>
        <w:widowControl w:val="0"/>
        <w:suppressAutoHyphens/>
        <w:ind w:left="0"/>
        <w:jc w:val="both"/>
      </w:pPr>
      <w:r w:rsidRPr="006932AA">
        <w:t>1.</w:t>
      </w:r>
      <w:r w:rsidRPr="006932AA">
        <w:tab/>
        <w:t>Terminy realizacji przedmiotu zamówienia:</w:t>
      </w:r>
    </w:p>
    <w:p w:rsidR="006932AA" w:rsidRPr="006932AA" w:rsidRDefault="006932AA" w:rsidP="006932AA">
      <w:pPr>
        <w:pStyle w:val="Akapitzlist"/>
        <w:widowControl w:val="0"/>
        <w:suppressAutoHyphens/>
        <w:ind w:left="708"/>
        <w:jc w:val="both"/>
      </w:pPr>
      <w:r w:rsidRPr="006932AA">
        <w:t>a)</w:t>
      </w:r>
      <w:r w:rsidRPr="006932AA">
        <w:tab/>
        <w:t>maksymalny termin realizacji przedmiotu zamówienia : 8 miesięcy od dnia zawarcia umowy,</w:t>
      </w:r>
    </w:p>
    <w:p w:rsidR="00617DE7" w:rsidRDefault="006932AA" w:rsidP="00617DE7">
      <w:pPr>
        <w:pStyle w:val="Akapitzlist"/>
        <w:widowControl w:val="0"/>
        <w:suppressAutoHyphens/>
        <w:ind w:left="708"/>
        <w:jc w:val="both"/>
      </w:pPr>
      <w:r w:rsidRPr="006932AA">
        <w:t>b)</w:t>
      </w:r>
      <w:r w:rsidRPr="006932AA">
        <w:tab/>
        <w:t>minimalny termin realizacji przedmiotu zamówienia : 5 miesięcy od dnia</w:t>
      </w:r>
      <w:r w:rsidRPr="006932AA">
        <w:rPr>
          <w:b/>
        </w:rPr>
        <w:t xml:space="preserve"> </w:t>
      </w:r>
      <w:r w:rsidRPr="00617DE7">
        <w:t>zawarcia umowy.</w:t>
      </w:r>
    </w:p>
    <w:p w:rsidR="00617DE7" w:rsidRPr="00617DE7" w:rsidRDefault="00617DE7" w:rsidP="00617DE7">
      <w:pPr>
        <w:widowControl w:val="0"/>
        <w:suppressAutoHyphens/>
        <w:ind w:left="705" w:hanging="705"/>
        <w:jc w:val="both"/>
      </w:pPr>
      <w:r>
        <w:t>2</w:t>
      </w:r>
      <w:r w:rsidRPr="00617DE7">
        <w:t>.</w:t>
      </w:r>
      <w:r w:rsidRPr="00617DE7">
        <w:tab/>
        <w:t>Płatności będą realizowane na podstawie jednej faktury końcowej. Warunki płatności zostały określone w § 3 Wzoru umowy stanowiącym załącznik nr 10 do SIWZ.</w:t>
      </w:r>
    </w:p>
    <w:p w:rsidR="00DF7BBD" w:rsidRPr="00BF67FB" w:rsidRDefault="00DF7BBD" w:rsidP="006932AA">
      <w:pPr>
        <w:pStyle w:val="Standard"/>
        <w:jc w:val="both"/>
        <w:rPr>
          <w:iCs/>
          <w:highlight w:val="yellow"/>
          <w:lang w:val="pl-PL"/>
        </w:rPr>
      </w:pPr>
    </w:p>
    <w:p w:rsidR="00DF7BBD" w:rsidRPr="00617DE7" w:rsidRDefault="00E24B79" w:rsidP="006932AA">
      <w:pPr>
        <w:pStyle w:val="Standard"/>
        <w:jc w:val="both"/>
        <w:rPr>
          <w:lang w:val="pl-PL"/>
        </w:rPr>
      </w:pPr>
      <w:r w:rsidRPr="00617DE7">
        <w:rPr>
          <w:lang w:val="pl-PL"/>
        </w:rPr>
        <w:t>Zadanie</w:t>
      </w:r>
      <w:r w:rsidR="00DF7BBD" w:rsidRPr="00617DE7">
        <w:rPr>
          <w:lang w:val="pl-PL"/>
        </w:rPr>
        <w:t xml:space="preserve"> obejmuje wykonanie robót budowlanych na obiekcie oraz </w:t>
      </w:r>
      <w:r w:rsidR="00DF7BBD" w:rsidRPr="00617DE7">
        <w:rPr>
          <w:iCs/>
          <w:lang w:val="pl-PL"/>
        </w:rPr>
        <w:t xml:space="preserve">robót związanych </w:t>
      </w:r>
      <w:r w:rsidR="00CA5B0A" w:rsidRPr="00617DE7">
        <w:rPr>
          <w:iCs/>
          <w:lang w:val="pl-PL"/>
        </w:rPr>
        <w:t xml:space="preserve">  </w:t>
      </w:r>
      <w:r w:rsidR="00971104" w:rsidRPr="00617DE7">
        <w:rPr>
          <w:iCs/>
          <w:lang w:val="pl-PL"/>
        </w:rPr>
        <w:t xml:space="preserve">               </w:t>
      </w:r>
      <w:r w:rsidR="00DF7BBD" w:rsidRPr="00617DE7">
        <w:rPr>
          <w:iCs/>
          <w:lang w:val="pl-PL"/>
        </w:rPr>
        <w:t xml:space="preserve">z zagospodarowaniem terenu, </w:t>
      </w:r>
      <w:r w:rsidR="00DF7BBD" w:rsidRPr="00617DE7">
        <w:rPr>
          <w:lang w:val="pl-PL"/>
        </w:rPr>
        <w:t xml:space="preserve">rozmieszczeniem i montażem urządzeń, </w:t>
      </w:r>
      <w:r w:rsidRPr="00617DE7">
        <w:rPr>
          <w:iCs/>
          <w:lang w:val="pl-PL"/>
        </w:rPr>
        <w:t>w zakresie objętym w dokumentacji projektowej,</w:t>
      </w:r>
      <w:r w:rsidR="00DF7BBD" w:rsidRPr="00617DE7">
        <w:rPr>
          <w:iCs/>
          <w:lang w:val="pl-PL"/>
        </w:rPr>
        <w:t xml:space="preserve"> wraz</w:t>
      </w:r>
      <w:r w:rsidRPr="00617DE7">
        <w:rPr>
          <w:iCs/>
          <w:lang w:val="pl-PL"/>
        </w:rPr>
        <w:t xml:space="preserve">  </w:t>
      </w:r>
      <w:r w:rsidR="001A19ED" w:rsidRPr="00617DE7">
        <w:rPr>
          <w:iCs/>
          <w:lang w:val="pl-PL"/>
        </w:rPr>
        <w:t>z potwierdzeniem</w:t>
      </w:r>
      <w:r w:rsidR="00DF7BBD" w:rsidRPr="00617DE7">
        <w:rPr>
          <w:iCs/>
          <w:lang w:val="pl-PL"/>
        </w:rPr>
        <w:t xml:space="preserve"> przez Zamawiającego </w:t>
      </w:r>
      <w:r w:rsidR="00A22C49" w:rsidRPr="00617DE7">
        <w:rPr>
          <w:iCs/>
          <w:lang w:val="pl-PL"/>
        </w:rPr>
        <w:t>w d</w:t>
      </w:r>
      <w:r w:rsidR="001A19ED" w:rsidRPr="00617DE7">
        <w:rPr>
          <w:iCs/>
          <w:lang w:val="pl-PL"/>
        </w:rPr>
        <w:t xml:space="preserve">zienniku budowy wykonania pełnego zakresu robót budowlanych. </w:t>
      </w:r>
    </w:p>
    <w:p w:rsidR="00886237" w:rsidRPr="00617DE7" w:rsidRDefault="00886237" w:rsidP="006932AA">
      <w:pPr>
        <w:pStyle w:val="Akapitzlist"/>
        <w:ind w:left="0"/>
        <w:jc w:val="both"/>
        <w:rPr>
          <w:lang w:eastAsia="ar-SA"/>
        </w:rPr>
      </w:pPr>
    </w:p>
    <w:p w:rsidR="00DF7BBD" w:rsidRPr="00AA3AED" w:rsidRDefault="00DF7BBD" w:rsidP="006932AA">
      <w:pPr>
        <w:pStyle w:val="Akapitzlist"/>
        <w:ind w:left="0"/>
        <w:jc w:val="both"/>
      </w:pPr>
      <w:r w:rsidRPr="00617DE7">
        <w:rPr>
          <w:lang w:eastAsia="ar-SA"/>
        </w:rPr>
        <w:t>Roboty budowlane oznaczają pełen zakres robót budowlano-montażowych wszelkich branż budownictwa, robót rozbiórkowych, robót montażowych i instalacyjnych, usług budowlanych oraz dostaw maszyn i urządzeń dotyczących inwestycji, wraz</w:t>
      </w:r>
      <w:r w:rsidR="00886237" w:rsidRPr="00617DE7">
        <w:rPr>
          <w:lang w:eastAsia="ar-SA"/>
        </w:rPr>
        <w:t xml:space="preserve"> </w:t>
      </w:r>
      <w:r w:rsidRPr="00617DE7">
        <w:rPr>
          <w:lang w:eastAsia="ar-SA"/>
        </w:rPr>
        <w:t xml:space="preserve">z infrastrukturą techniczną i </w:t>
      </w:r>
      <w:r w:rsidRPr="00617DE7">
        <w:rPr>
          <w:lang w:eastAsia="ar-SA"/>
        </w:rPr>
        <w:lastRenderedPageBreak/>
        <w:t>zagospodarowaniem terenu</w:t>
      </w:r>
      <w:r w:rsidR="00BC601D" w:rsidRPr="00617DE7">
        <w:rPr>
          <w:lang w:eastAsia="ar-SA"/>
        </w:rPr>
        <w:t>,</w:t>
      </w:r>
      <w:r w:rsidRPr="00617DE7">
        <w:rPr>
          <w:lang w:eastAsia="ar-SA"/>
        </w:rPr>
        <w:t xml:space="preserve"> w zakresi</w:t>
      </w:r>
      <w:r w:rsidR="00617DE7" w:rsidRPr="00617DE7">
        <w:rPr>
          <w:lang w:eastAsia="ar-SA"/>
        </w:rPr>
        <w:t xml:space="preserve">e opisanym w szczególności w </w:t>
      </w:r>
      <w:r w:rsidR="00E24B79" w:rsidRPr="00617DE7">
        <w:rPr>
          <w:lang w:eastAsia="ar-SA"/>
        </w:rPr>
        <w:t>dokumentacji projektowej</w:t>
      </w:r>
      <w:r w:rsidR="00BC601D" w:rsidRPr="00617DE7">
        <w:rPr>
          <w:lang w:eastAsia="ar-SA"/>
        </w:rPr>
        <w:t>.</w:t>
      </w:r>
      <w:r w:rsidRPr="00617DE7">
        <w:rPr>
          <w:lang w:eastAsia="ar-SA"/>
        </w:rPr>
        <w:t xml:space="preserve"> Zakres robót obejmuje także </w:t>
      </w:r>
      <w:r w:rsidRPr="00617DE7">
        <w:t>dost</w:t>
      </w:r>
      <w:r w:rsidR="00E24B79" w:rsidRPr="00617DE7">
        <w:t>awę i zainstalowanie określonej w projekcie instalacji fotowoltaicznej</w:t>
      </w:r>
      <w:r w:rsidRPr="00617DE7">
        <w:t xml:space="preserve"> i innych elementów projektowanych do wbudowania na stałe; uruchomienie, przeprowadzenie ruchu próbnego i prób funkcjonalnych, opracowanie instrukcji eksploatacji i obsługi, przeszkolenie </w:t>
      </w:r>
      <w:r w:rsidR="00886237" w:rsidRPr="00617DE7">
        <w:t>służb eksploatacyjnych i udział</w:t>
      </w:r>
      <w:r w:rsidR="00CA5B0A" w:rsidRPr="00617DE7">
        <w:t xml:space="preserve"> </w:t>
      </w:r>
      <w:r w:rsidRPr="00617DE7">
        <w:t>w przekazaniu do użytkowania; przygotowanie wszelkich</w:t>
      </w:r>
      <w:r w:rsidR="00874233" w:rsidRPr="00617DE7">
        <w:t>.</w:t>
      </w:r>
      <w:r w:rsidRPr="00AA3AED">
        <w:t xml:space="preserve"> </w:t>
      </w:r>
    </w:p>
    <w:p w:rsidR="00E24B79" w:rsidRPr="00AA3AED" w:rsidRDefault="00DF7BBD" w:rsidP="00D24AA5">
      <w:pPr>
        <w:pStyle w:val="Akapitzlist"/>
        <w:autoSpaceDE w:val="0"/>
        <w:ind w:left="0"/>
        <w:contextualSpacing w:val="0"/>
        <w:jc w:val="both"/>
        <w:rPr>
          <w:lang w:eastAsia="ar-SA"/>
        </w:rPr>
      </w:pPr>
      <w:r w:rsidRPr="00AA3AED">
        <w:t>Wykonawca wykona wszelkie prace rozbiórkowe, demontażowe, niwelacji terenu, odwodnienia terenu i inne na potrzeby realizacji inwestycji, na swój koszt i winien zapoznać się ze wszelkimi dokumentami koniecznymi do wykonania przedmiotu umowy</w:t>
      </w:r>
      <w:r w:rsidR="00693632" w:rsidRPr="00AA3AED">
        <w:t>.</w:t>
      </w:r>
      <w:r w:rsidRPr="00AA3AED">
        <w:rPr>
          <w:lang w:eastAsia="ar-SA"/>
        </w:rPr>
        <w:t xml:space="preserve"> </w:t>
      </w:r>
    </w:p>
    <w:p w:rsidR="00DF7BBD" w:rsidRPr="00AA3AED" w:rsidRDefault="00DF7BBD" w:rsidP="00D24AA5">
      <w:pPr>
        <w:pStyle w:val="Bezodstpw"/>
        <w:suppressAutoHyphens/>
        <w:jc w:val="both"/>
      </w:pPr>
      <w:r w:rsidRPr="00AA3AED">
        <w:t xml:space="preserve">Wykonawca ponosi pełną odpowiedzialność za całość wykonanych robót objętych umową. Zlecenie wykonania części robót Podwykonawcom i dalszym Podwykonawcom nie zmienia zobowiązań Wykonawcy wobec Zamawiającego za wykonanie tej części robót. Wykonawca jest odpowiedzialny za działania, uchybienia i zaniedbania Podwykonawców </w:t>
      </w:r>
      <w:r w:rsidR="00971104">
        <w:t xml:space="preserve">     </w:t>
      </w:r>
      <w:r w:rsidRPr="00AA3AED">
        <w:t>i dalszych Podwykonawców  i ich pracowników w takim samym stopniu, jakby to były działania, uchybienia lub zaniedbania jego własnych pracowników.</w:t>
      </w:r>
    </w:p>
    <w:p w:rsidR="00FD0A04" w:rsidRDefault="00FD0A04" w:rsidP="000E6ACE">
      <w:pPr>
        <w:ind w:left="284" w:firstLine="424"/>
        <w:jc w:val="both"/>
      </w:pPr>
    </w:p>
    <w:p w:rsidR="001D0B18" w:rsidRPr="00AA3AED" w:rsidRDefault="00D24AA5" w:rsidP="00D24AA5">
      <w:pPr>
        <w:pStyle w:val="Akapitzlist"/>
        <w:tabs>
          <w:tab w:val="left" w:pos="5880"/>
        </w:tabs>
        <w:autoSpaceDE w:val="0"/>
        <w:ind w:left="426"/>
        <w:jc w:val="both"/>
      </w:pPr>
      <w:r>
        <w:tab/>
      </w:r>
    </w:p>
    <w:p w:rsidR="00FA479C" w:rsidRPr="00D24AA5" w:rsidRDefault="009921CA" w:rsidP="009921CA">
      <w:pPr>
        <w:ind w:right="-111"/>
        <w:jc w:val="both"/>
        <w:rPr>
          <w:b/>
        </w:rPr>
      </w:pPr>
      <w:r w:rsidRPr="002C0F9D">
        <w:t>11.</w:t>
      </w:r>
      <w:r w:rsidR="002C0F9D">
        <w:rPr>
          <w:b/>
        </w:rPr>
        <w:t xml:space="preserve"> </w:t>
      </w:r>
      <w:r w:rsidR="00FA479C">
        <w:rPr>
          <w:b/>
        </w:rPr>
        <w:t xml:space="preserve"> </w:t>
      </w:r>
      <w:r w:rsidR="005F115C" w:rsidRPr="00D24AA5">
        <w:rPr>
          <w:b/>
        </w:rPr>
        <w:t xml:space="preserve">Zakres robót objętych postępowaniem – Wspólny Słownik Zamówień (CPV): </w:t>
      </w:r>
    </w:p>
    <w:p w:rsidR="000E6ACE" w:rsidRPr="00D24AA5" w:rsidRDefault="000E6ACE" w:rsidP="00A07A49">
      <w:pPr>
        <w:autoSpaceDE w:val="0"/>
        <w:autoSpaceDN w:val="0"/>
        <w:adjustRightInd w:val="0"/>
        <w:rPr>
          <w:rFonts w:eastAsiaTheme="minorHAnsi"/>
          <w:lang w:eastAsia="en-US"/>
        </w:rPr>
      </w:pP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 xml:space="preserve">45.00.00.00-7 Roboty budowlane  </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45.11.00.00-1 Roboty w zakresie burzenia i rozbiórki obiektów budowlanych; roboty ziemne</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45.31.00.00-3 Roboty instalacyjne elektryczne</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 xml:space="preserve">45.32.00.00-6 Roboty izolacyjne </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 xml:space="preserve">45.33.00.00-9 Roboty instalacyjne wodno-kanalizacyjne i sanitarne </w:t>
      </w:r>
    </w:p>
    <w:p w:rsid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45.40.00.00-1 Roboty wykończeniowe w zakresie obiektów budowlanych</w:t>
      </w:r>
    </w:p>
    <w:p w:rsidR="00A46E90" w:rsidRDefault="007014F0" w:rsidP="007014F0">
      <w:pPr>
        <w:pStyle w:val="Standard"/>
        <w:rPr>
          <w:b/>
          <w:lang w:val="pl-PL"/>
        </w:rPr>
      </w:pPr>
      <w:r w:rsidRPr="007014F0">
        <w:rPr>
          <w:rFonts w:eastAsiaTheme="minorHAnsi"/>
          <w:kern w:val="0"/>
          <w:lang w:val="pl-PL" w:eastAsia="en-US" w:bidi="ar-SA"/>
        </w:rPr>
        <w:t xml:space="preserve">     </w:t>
      </w:r>
    </w:p>
    <w:p w:rsidR="00CF4B76" w:rsidRPr="008E3412" w:rsidRDefault="009921CA" w:rsidP="009921CA">
      <w:pPr>
        <w:pStyle w:val="Standard"/>
        <w:jc w:val="both"/>
        <w:rPr>
          <w:b/>
          <w:lang w:val="pl-PL"/>
        </w:rPr>
      </w:pPr>
      <w:r w:rsidRPr="002C0F9D">
        <w:rPr>
          <w:lang w:val="pl-PL"/>
        </w:rPr>
        <w:t>12.</w:t>
      </w:r>
      <w:r w:rsidR="002C0F9D">
        <w:rPr>
          <w:b/>
          <w:lang w:val="pl-PL"/>
        </w:rPr>
        <w:t xml:space="preserve"> </w:t>
      </w:r>
      <w:r w:rsidR="00FA479C">
        <w:rPr>
          <w:b/>
          <w:lang w:val="pl-PL"/>
        </w:rPr>
        <w:t xml:space="preserve"> </w:t>
      </w:r>
      <w:r w:rsidR="002C0F9D">
        <w:rPr>
          <w:b/>
          <w:lang w:val="pl-PL"/>
        </w:rPr>
        <w:t xml:space="preserve"> </w:t>
      </w:r>
      <w:r w:rsidR="00CE1C8D" w:rsidRPr="008E3412">
        <w:rPr>
          <w:b/>
          <w:lang w:val="pl-PL"/>
        </w:rPr>
        <w:t>Uwagi różne</w:t>
      </w:r>
      <w:r w:rsidR="00CF4B76" w:rsidRPr="008E3412">
        <w:rPr>
          <w:b/>
          <w:lang w:val="pl-PL"/>
        </w:rPr>
        <w:t>:</w:t>
      </w:r>
    </w:p>
    <w:p w:rsidR="00CF4B76" w:rsidRDefault="009921CA" w:rsidP="00364187">
      <w:pPr>
        <w:jc w:val="both"/>
      </w:pPr>
      <w:r>
        <w:t>12</w:t>
      </w:r>
      <w:r w:rsidR="00364187">
        <w:t xml:space="preserve">.1 </w:t>
      </w:r>
      <w:r w:rsidR="00CE1C8D" w:rsidRPr="00AA3AED">
        <w:t>Wykonawca wykona pełny zakres umowy w pełni</w:t>
      </w:r>
      <w:r w:rsidR="00CF4B76" w:rsidRPr="00AA3AED">
        <w:t xml:space="preserve"> funkcjonalnie i zgodnie </w:t>
      </w:r>
      <w:r w:rsidR="00CA5B0A" w:rsidRPr="00AA3AED">
        <w:t xml:space="preserve">                        </w:t>
      </w:r>
      <w:r w:rsidR="00CF4B76" w:rsidRPr="00AA3AED">
        <w:t>z obowiązującymi przepisami, gotowy do eksploatacji i spełni</w:t>
      </w:r>
      <w:r w:rsidR="00BC29CA">
        <w:t>ający ok</w:t>
      </w:r>
      <w:r w:rsidR="00D24AA5">
        <w:t xml:space="preserve">reślone w </w:t>
      </w:r>
      <w:r w:rsidR="00BC29CA">
        <w:t xml:space="preserve">dokumentacji projektowej </w:t>
      </w:r>
      <w:r w:rsidR="00CE1C8D" w:rsidRPr="00AA3AED">
        <w:t xml:space="preserve"> i umowie </w:t>
      </w:r>
      <w:r w:rsidR="00CF4B76" w:rsidRPr="00AA3AED">
        <w:t>wymagania</w:t>
      </w:r>
      <w:r w:rsidR="008E3412">
        <w:t>.</w:t>
      </w:r>
    </w:p>
    <w:p w:rsidR="00C916E8" w:rsidRDefault="00C53021" w:rsidP="00C53021">
      <w:pPr>
        <w:jc w:val="both"/>
      </w:pPr>
      <w:r>
        <w:t xml:space="preserve">12.2 </w:t>
      </w:r>
      <w:r w:rsidR="00C916E8" w:rsidRPr="00AA3AED">
        <w:t>Wykonawca zobowiązuje się wykonać przedmiot umowy z zachowaniem term</w:t>
      </w:r>
      <w:r w:rsidR="002D5913" w:rsidRPr="00AA3AED">
        <w:t>inu</w:t>
      </w:r>
      <w:r w:rsidR="00CA5B0A" w:rsidRPr="00AA3AED">
        <w:t xml:space="preserve">    </w:t>
      </w:r>
      <w:r>
        <w:t xml:space="preserve">        </w:t>
      </w:r>
      <w:r w:rsidR="002D5913" w:rsidRPr="00AA3AED">
        <w:t xml:space="preserve">i z należytą starannością, </w:t>
      </w:r>
      <w:r w:rsidR="00C916E8" w:rsidRPr="00AA3AED">
        <w:t>z uwzględnieniem profesjonalnego charakteru świadczonych prac, zapewniając przy tym jak najpełniejszą ochronę</w:t>
      </w:r>
      <w:r w:rsidR="008E3412">
        <w:t xml:space="preserve"> praw i interesów Zamawiającego.</w:t>
      </w:r>
    </w:p>
    <w:p w:rsidR="00B55AC5" w:rsidRPr="00BC29CA" w:rsidRDefault="009921CA" w:rsidP="00364187">
      <w:pPr>
        <w:pStyle w:val="Bezodstpw"/>
        <w:jc w:val="both"/>
      </w:pPr>
      <w:r>
        <w:rPr>
          <w:bCs/>
        </w:rPr>
        <w:t>12.3</w:t>
      </w:r>
      <w:r w:rsidR="00C53021">
        <w:rPr>
          <w:bCs/>
        </w:rPr>
        <w:t xml:space="preserve">   </w:t>
      </w:r>
      <w:r w:rsidR="00B55AC5" w:rsidRPr="00BC29CA">
        <w:rPr>
          <w:bCs/>
        </w:rPr>
        <w:t>Wymagania do wykonania robót budowlanych.</w:t>
      </w:r>
    </w:p>
    <w:p w:rsidR="00B55AC5" w:rsidRPr="00B55AC5" w:rsidRDefault="00B55AC5" w:rsidP="008E1133">
      <w:pPr>
        <w:numPr>
          <w:ilvl w:val="0"/>
          <w:numId w:val="7"/>
        </w:numPr>
        <w:jc w:val="both"/>
      </w:pPr>
      <w:r w:rsidRPr="00B55AC5">
        <w:rPr>
          <w:color w:val="000000"/>
        </w:rPr>
        <w:t xml:space="preserve">Roboty budowlane </w:t>
      </w:r>
      <w:r w:rsidRPr="00B55AC5">
        <w:t>należy wykonać zgodnie z dokumentacją projektową, specyfikacją techniczną wykonania i odbioru robót</w:t>
      </w:r>
      <w:r w:rsidRPr="00B55AC5">
        <w:rPr>
          <w:color w:val="000000"/>
        </w:rPr>
        <w:t xml:space="preserve"> budowlanych ( </w:t>
      </w:r>
      <w:proofErr w:type="spellStart"/>
      <w:r w:rsidRPr="00B55AC5">
        <w:rPr>
          <w:color w:val="000000"/>
        </w:rPr>
        <w:t>STWiORB</w:t>
      </w:r>
      <w:proofErr w:type="spellEnd"/>
      <w:r w:rsidRPr="00B55AC5">
        <w:rPr>
          <w:color w:val="000000"/>
        </w:rPr>
        <w:t xml:space="preserve"> ) oraz wytycznymi określonymi w niniejszej SIWZ</w:t>
      </w:r>
      <w:r w:rsidRPr="00B55AC5">
        <w:t>, z obowiązującymi normami, sztuką budowlaną, przepisam</w:t>
      </w:r>
      <w:r w:rsidR="009F3160">
        <w:t>i BHP, ppoż., oraz poleceniami inspektora n</w:t>
      </w:r>
      <w:r w:rsidRPr="00B55AC5">
        <w:t>adzoru, nadzoru autorskiego i przedstawiciela Zamawiającego.</w:t>
      </w:r>
    </w:p>
    <w:p w:rsidR="00B55AC5" w:rsidRPr="000F6857" w:rsidRDefault="00B55AC5" w:rsidP="008E1133">
      <w:pPr>
        <w:numPr>
          <w:ilvl w:val="0"/>
          <w:numId w:val="7"/>
        </w:numPr>
        <w:jc w:val="both"/>
      </w:pPr>
      <w:r w:rsidRPr="000F6857">
        <w:t xml:space="preserve">Wykonawca po wykonaniu robót przygotuje wszelkie wymagane dokumenty, w tym dokumentację powykonawczą </w:t>
      </w:r>
      <w:r w:rsidR="002970F2" w:rsidRPr="000F6857">
        <w:t xml:space="preserve">w tym kosztorys powykonawczy i/ lub różnicowy </w:t>
      </w:r>
      <w:r w:rsidRPr="000F6857">
        <w:t xml:space="preserve">oraz niezbędne opinie i uzgodnienia do złożenia ich do organu nadzoru budowlanego w celu uzyskania decyzji pozwolenia na użytkowanie. </w:t>
      </w:r>
    </w:p>
    <w:p w:rsidR="00B55AC5" w:rsidRPr="000F6857" w:rsidRDefault="00BC29CA" w:rsidP="008E1133">
      <w:pPr>
        <w:numPr>
          <w:ilvl w:val="0"/>
          <w:numId w:val="7"/>
        </w:numPr>
        <w:jc w:val="both"/>
        <w:rPr>
          <w:b/>
          <w:i/>
        </w:rPr>
      </w:pPr>
      <w:r w:rsidRPr="000F6857">
        <w:rPr>
          <w:b/>
          <w:i/>
        </w:rPr>
        <w:t>Wykonanie</w:t>
      </w:r>
      <w:r w:rsidR="00B55AC5" w:rsidRPr="000F6857">
        <w:rPr>
          <w:b/>
          <w:i/>
        </w:rPr>
        <w:t xml:space="preserve"> przedmiotu zamówienia będzie się uważać za zakończone – odbiór ostateczny, jeżeli wydana zostanie decyzja pozwolenia na użytkowanie obiektu.</w:t>
      </w:r>
    </w:p>
    <w:p w:rsidR="00B55AC5" w:rsidRPr="00B55AC5" w:rsidRDefault="00B55AC5" w:rsidP="008E1133">
      <w:pPr>
        <w:numPr>
          <w:ilvl w:val="0"/>
          <w:numId w:val="7"/>
        </w:numPr>
        <w:jc w:val="both"/>
      </w:pPr>
      <w:r w:rsidRPr="000F6857">
        <w:t>Wykonawca wykona i przygotuje oraz złoży w formie trwale spiętej wszelkie</w:t>
      </w:r>
      <w:r w:rsidRPr="00B55AC5">
        <w:t xml:space="preserve"> dokumenty za wykonany przedmiot zamówienia, a zwłaszcza :</w:t>
      </w:r>
    </w:p>
    <w:p w:rsidR="00B55AC5" w:rsidRPr="00B55AC5" w:rsidRDefault="00B55AC5" w:rsidP="008E1133">
      <w:pPr>
        <w:numPr>
          <w:ilvl w:val="0"/>
          <w:numId w:val="8"/>
        </w:numPr>
        <w:tabs>
          <w:tab w:val="clear" w:pos="927"/>
          <w:tab w:val="num" w:pos="-567"/>
        </w:tabs>
        <w:ind w:left="1418" w:hanging="425"/>
        <w:jc w:val="both"/>
      </w:pPr>
      <w:r w:rsidRPr="00B55AC5">
        <w:t>instrukcje ( w języku polskim ) użytkowania zamontowanych urządzeń,</w:t>
      </w:r>
    </w:p>
    <w:p w:rsidR="00B55AC5" w:rsidRPr="00B55AC5" w:rsidRDefault="00B55AC5" w:rsidP="008E1133">
      <w:pPr>
        <w:numPr>
          <w:ilvl w:val="0"/>
          <w:numId w:val="8"/>
        </w:numPr>
        <w:tabs>
          <w:tab w:val="clear" w:pos="927"/>
          <w:tab w:val="num" w:pos="-567"/>
        </w:tabs>
        <w:ind w:left="1418" w:hanging="425"/>
        <w:jc w:val="both"/>
      </w:pPr>
      <w:r w:rsidRPr="00B55AC5">
        <w:t>dokumenty gwarancyjne wraz z warunkami gwarancji wszystkich zamontowanych urządzeń,</w:t>
      </w:r>
    </w:p>
    <w:p w:rsidR="00B55AC5" w:rsidRPr="00B55AC5" w:rsidRDefault="00B55AC5" w:rsidP="008E1133">
      <w:pPr>
        <w:numPr>
          <w:ilvl w:val="0"/>
          <w:numId w:val="8"/>
        </w:numPr>
        <w:tabs>
          <w:tab w:val="clear" w:pos="927"/>
          <w:tab w:val="num" w:pos="-567"/>
        </w:tabs>
        <w:ind w:left="1418" w:hanging="425"/>
        <w:jc w:val="both"/>
      </w:pPr>
      <w:r w:rsidRPr="00B55AC5">
        <w:t>protokoły z badania materiałów i urządzeń,</w:t>
      </w:r>
    </w:p>
    <w:p w:rsidR="00B55AC5" w:rsidRPr="00B55AC5" w:rsidRDefault="00B55AC5" w:rsidP="008E1133">
      <w:pPr>
        <w:numPr>
          <w:ilvl w:val="0"/>
          <w:numId w:val="8"/>
        </w:numPr>
        <w:tabs>
          <w:tab w:val="clear" w:pos="927"/>
          <w:tab w:val="num" w:pos="-567"/>
        </w:tabs>
        <w:ind w:left="1418" w:hanging="425"/>
        <w:jc w:val="both"/>
      </w:pPr>
      <w:r w:rsidRPr="00B55AC5">
        <w:lastRenderedPageBreak/>
        <w:t xml:space="preserve">dokumenty potwierdzające jakość materiałów i urządzeń użytych </w:t>
      </w:r>
      <w:r w:rsidR="00364187">
        <w:br/>
      </w:r>
      <w:r w:rsidRPr="00B55AC5">
        <w:t>do wykonania przedmiotu zamówienia,</w:t>
      </w:r>
    </w:p>
    <w:p w:rsidR="00B55AC5" w:rsidRPr="00B55AC5" w:rsidRDefault="00B55AC5" w:rsidP="008E1133">
      <w:pPr>
        <w:numPr>
          <w:ilvl w:val="0"/>
          <w:numId w:val="8"/>
        </w:numPr>
        <w:tabs>
          <w:tab w:val="clear" w:pos="927"/>
          <w:tab w:val="num" w:pos="-567"/>
        </w:tabs>
        <w:ind w:left="1418" w:hanging="425"/>
        <w:jc w:val="both"/>
      </w:pPr>
      <w:r w:rsidRPr="00B55AC5">
        <w:t>inne dokumenty zgromadzone w trakcie wykonywania przedmiotu zamówienia, a odnoszące się do jego realizacji.</w:t>
      </w:r>
    </w:p>
    <w:p w:rsidR="00B55AC5" w:rsidRPr="00B55AC5" w:rsidRDefault="00B55AC5" w:rsidP="008E1133">
      <w:pPr>
        <w:numPr>
          <w:ilvl w:val="0"/>
          <w:numId w:val="7"/>
        </w:numPr>
        <w:jc w:val="both"/>
      </w:pPr>
      <w:r w:rsidRPr="00B55AC5">
        <w:t>Wykonawca zaopatrzy obiekt w oznaczenia i instrukcje wymagane obowiązującymi przepisami ( p.poż., sanitarne, bhp ).</w:t>
      </w:r>
    </w:p>
    <w:p w:rsidR="00B55AC5" w:rsidRPr="00B55AC5" w:rsidRDefault="00B55AC5" w:rsidP="008E1133">
      <w:pPr>
        <w:numPr>
          <w:ilvl w:val="0"/>
          <w:numId w:val="7"/>
        </w:numPr>
        <w:jc w:val="both"/>
      </w:pPr>
      <w:r w:rsidRPr="00B55AC5">
        <w:t>Do wykonania zamówienia wykonawca zobowiązany jest użyć materiałów gwarantujących odpowiednią jakość, o parametrach technicznych i jakościowych nie gorszych niż określone w dokumentacji projektowej. Wyroby budowlan</w:t>
      </w:r>
      <w:r w:rsidR="00BC29CA">
        <w:t>e użyte do wykonania robót muszą</w:t>
      </w:r>
      <w:r w:rsidRPr="00B55AC5">
        <w:t xml:space="preserve"> odpowiadać wymaganiom określonym </w:t>
      </w:r>
      <w:r w:rsidR="00364187">
        <w:br/>
      </w:r>
      <w:r w:rsidRPr="00B55AC5">
        <w:t>w obowiązujących przepisach</w:t>
      </w:r>
    </w:p>
    <w:p w:rsidR="00B55AC5" w:rsidRPr="00B55AC5" w:rsidRDefault="00B55AC5" w:rsidP="00364187">
      <w:pPr>
        <w:numPr>
          <w:ilvl w:val="0"/>
          <w:numId w:val="7"/>
        </w:numPr>
        <w:jc w:val="both"/>
      </w:pPr>
      <w:r w:rsidRPr="00B55AC5">
        <w:t>Zabrania się stosowania materiałów nieodpowiadających wymaganiom  Norm</w:t>
      </w:r>
      <w:r w:rsidR="009F3160">
        <w:t>,</w:t>
      </w:r>
      <w:r w:rsidRPr="00B55AC5">
        <w:t xml:space="preserve"> </w:t>
      </w:r>
      <w:r w:rsidR="00364187">
        <w:br/>
      </w:r>
      <w:r w:rsidRPr="00B55AC5">
        <w:t xml:space="preserve">oraz innym określonym w projekcie. Wykonawca ma obowiązek posiadać </w:t>
      </w:r>
      <w:r w:rsidR="00364187">
        <w:br/>
      </w:r>
      <w:r w:rsidRPr="00B55AC5">
        <w:t>w stosunku do użytych materiałów i urządzeń dokumenty potwierdzające pozwolenie na zastosowanie/wbudowanie (atesty, certyfikaty, aprobaty techniczne, świadectwa jakości).</w:t>
      </w:r>
    </w:p>
    <w:p w:rsidR="00C53021" w:rsidRPr="00C53021" w:rsidRDefault="00C53021" w:rsidP="00C53021">
      <w:pPr>
        <w:pStyle w:val="Akapitzlist"/>
        <w:numPr>
          <w:ilvl w:val="0"/>
          <w:numId w:val="7"/>
        </w:numPr>
        <w:jc w:val="both"/>
      </w:pPr>
      <w:r w:rsidRPr="00C53021">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Dokumentacji projektowej. Na Wykonawcy spoczywa ciężar wskazania „równoważności”. </w:t>
      </w:r>
    </w:p>
    <w:p w:rsidR="00B55AC5" w:rsidRPr="00B55AC5" w:rsidRDefault="00B55AC5" w:rsidP="00364187">
      <w:pPr>
        <w:numPr>
          <w:ilvl w:val="0"/>
          <w:numId w:val="7"/>
        </w:numPr>
        <w:jc w:val="both"/>
      </w:pPr>
      <w:r w:rsidRPr="00B55AC5">
        <w:t>Wykonawca zabezpieczy składowane tymczaso</w:t>
      </w:r>
      <w:r w:rsidR="00364187">
        <w:t xml:space="preserve">wo na placu budowy  materiały i </w:t>
      </w:r>
      <w:r w:rsidRPr="00B55AC5">
        <w:t>urządzenia do czasu ich wbudowania przed zniszczeniem, uszkodzeniem lub utratą jakości, właściwości lub parametrów, oraz udostępni do kontroli</w:t>
      </w:r>
      <w:r w:rsidR="00557C35">
        <w:t xml:space="preserve"> przez inspektora nadzo</w:t>
      </w:r>
      <w:r w:rsidR="00782B36">
        <w:t>ru lub przedstawicieli Zamawiają</w:t>
      </w:r>
      <w:r w:rsidR="00557C35">
        <w:t>cego.</w:t>
      </w:r>
    </w:p>
    <w:p w:rsidR="008E3412" w:rsidRDefault="00C53021" w:rsidP="00C53021">
      <w:pPr>
        <w:pStyle w:val="Akapitzlist"/>
        <w:tabs>
          <w:tab w:val="left" w:pos="-1560"/>
          <w:tab w:val="right" w:pos="-993"/>
        </w:tabs>
        <w:ind w:left="0"/>
      </w:pPr>
      <w:r>
        <w:t xml:space="preserve">12.4   </w:t>
      </w:r>
      <w:r w:rsidR="008E3412" w:rsidRPr="00B55AC5">
        <w:t xml:space="preserve">Koszty zajęcia </w:t>
      </w:r>
      <w:r w:rsidR="005671F0">
        <w:t>pasa drogowego stanowią ciężar W</w:t>
      </w:r>
      <w:r w:rsidR="008E3412" w:rsidRPr="00B55AC5">
        <w:t>ykonawcy.</w:t>
      </w:r>
    </w:p>
    <w:p w:rsidR="00566EBC" w:rsidRPr="00C53021" w:rsidRDefault="00C53021" w:rsidP="00C53021">
      <w:pPr>
        <w:tabs>
          <w:tab w:val="left" w:pos="-1560"/>
          <w:tab w:val="right" w:pos="-993"/>
        </w:tabs>
        <w:jc w:val="both"/>
        <w:rPr>
          <w:noProof/>
        </w:rPr>
      </w:pPr>
      <w:r w:rsidRPr="00C53021">
        <w:rPr>
          <w:rFonts w:eastAsiaTheme="minorHAnsi"/>
          <w:lang w:eastAsia="en-US"/>
        </w:rPr>
        <w:t xml:space="preserve">12.5 </w:t>
      </w:r>
      <w:r w:rsidR="001B58F6" w:rsidRPr="00C53021">
        <w:rPr>
          <w:rFonts w:eastAsiaTheme="minorHAnsi"/>
          <w:lang w:eastAsia="en-US"/>
        </w:rPr>
        <w:t>Istniejące  ogrodzenie przeznacz</w:t>
      </w:r>
      <w:r w:rsidR="008257C7" w:rsidRPr="00C53021">
        <w:rPr>
          <w:rFonts w:eastAsiaTheme="minorHAnsi"/>
          <w:lang w:eastAsia="en-US"/>
        </w:rPr>
        <w:t>one do rozbiórki</w:t>
      </w:r>
      <w:r w:rsidR="00007045" w:rsidRPr="00C53021">
        <w:rPr>
          <w:rFonts w:eastAsiaTheme="minorHAnsi"/>
          <w:lang w:eastAsia="en-US"/>
        </w:rPr>
        <w:t>,</w:t>
      </w:r>
      <w:r w:rsidR="008257C7" w:rsidRPr="00C53021">
        <w:rPr>
          <w:rFonts w:eastAsiaTheme="minorHAnsi"/>
          <w:lang w:eastAsia="en-US"/>
        </w:rPr>
        <w:t xml:space="preserve"> należy zdemontować </w:t>
      </w:r>
      <w:r w:rsidR="000A2F45" w:rsidRPr="00C53021">
        <w:rPr>
          <w:rFonts w:eastAsiaTheme="minorHAnsi"/>
          <w:lang w:eastAsia="en-US"/>
        </w:rPr>
        <w:t xml:space="preserve">i przekazać </w:t>
      </w:r>
      <w:r w:rsidRPr="00C53021">
        <w:rPr>
          <w:rFonts w:eastAsiaTheme="minorHAnsi"/>
          <w:lang w:eastAsia="en-US"/>
        </w:rPr>
        <w:t>Zamawiającemu</w:t>
      </w:r>
      <w:r w:rsidR="000A2F45" w:rsidRPr="00C53021">
        <w:rPr>
          <w:rFonts w:eastAsiaTheme="minorHAnsi"/>
          <w:lang w:eastAsia="en-US"/>
        </w:rPr>
        <w:t>.</w:t>
      </w:r>
    </w:p>
    <w:p w:rsidR="00A46E90" w:rsidRPr="000070B9" w:rsidRDefault="00A46E90" w:rsidP="000070B9">
      <w:pPr>
        <w:tabs>
          <w:tab w:val="left" w:pos="-1560"/>
          <w:tab w:val="right" w:pos="-993"/>
        </w:tabs>
        <w:rPr>
          <w:b/>
          <w:noProof/>
        </w:rPr>
      </w:pPr>
    </w:p>
    <w:p w:rsidR="00A46E90" w:rsidRDefault="00A46E90" w:rsidP="00A46E90">
      <w:pPr>
        <w:pStyle w:val="Akapitzlist"/>
        <w:tabs>
          <w:tab w:val="left" w:pos="-1560"/>
          <w:tab w:val="right" w:pos="-993"/>
        </w:tabs>
        <w:ind w:left="567"/>
        <w:rPr>
          <w:b/>
          <w:noProof/>
        </w:rPr>
      </w:pPr>
    </w:p>
    <w:p w:rsidR="008C627F" w:rsidRDefault="008C627F" w:rsidP="00A46E90">
      <w:pPr>
        <w:pStyle w:val="Akapitzlist"/>
        <w:tabs>
          <w:tab w:val="left" w:pos="-1560"/>
          <w:tab w:val="right" w:pos="-993"/>
        </w:tabs>
        <w:ind w:left="567"/>
        <w:rPr>
          <w:b/>
          <w:noProof/>
        </w:rPr>
      </w:pPr>
    </w:p>
    <w:p w:rsidR="00985050" w:rsidRPr="000A2F45" w:rsidRDefault="00985050" w:rsidP="00985050">
      <w:pPr>
        <w:rPr>
          <w:noProof/>
          <w:highlight w:val="lightGray"/>
        </w:rPr>
      </w:pPr>
    </w:p>
    <w:sectPr w:rsidR="00985050" w:rsidRPr="000A2F45" w:rsidSect="00942BE3">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53" w:rsidRDefault="009C1453" w:rsidP="00844A34">
      <w:r>
        <w:separator/>
      </w:r>
    </w:p>
  </w:endnote>
  <w:endnote w:type="continuationSeparator" w:id="0">
    <w:p w:rsidR="009C1453" w:rsidRDefault="009C1453" w:rsidP="0084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50o00">
    <w:altName w:val="MS Mincho"/>
    <w:panose1 w:val="00000000000000000000"/>
    <w:charset w:val="80"/>
    <w:family w:val="auto"/>
    <w:notTrueType/>
    <w:pitch w:val="default"/>
    <w:sig w:usb0="00000001" w:usb1="08070000" w:usb2="00000010" w:usb3="00000000" w:csb0="00020000" w:csb1="00000000"/>
  </w:font>
  <w:font w:name="TT56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53" w:rsidRDefault="009C1453" w:rsidP="00844A34">
      <w:r>
        <w:separator/>
      </w:r>
    </w:p>
  </w:footnote>
  <w:footnote w:type="continuationSeparator" w:id="0">
    <w:p w:rsidR="009C1453" w:rsidRDefault="009C1453" w:rsidP="0084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34" w:rsidRPr="004938C7" w:rsidRDefault="00844A34" w:rsidP="00844A34">
    <w:pPr>
      <w:pStyle w:val="Nagwek"/>
      <w:rPr>
        <w:szCs w:val="20"/>
      </w:rPr>
    </w:pPr>
  </w:p>
  <w:p w:rsidR="00844A34" w:rsidRDefault="00844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38C8178"/>
    <w:lvl w:ilvl="0">
      <w:start w:val="1"/>
      <w:numFmt w:val="bullet"/>
      <w:pStyle w:val="Styl3"/>
      <w:lvlText w:val=""/>
      <w:lvlJc w:val="left"/>
      <w:pPr>
        <w:tabs>
          <w:tab w:val="num" w:pos="212"/>
        </w:tabs>
        <w:ind w:left="1637" w:hanging="360"/>
      </w:pPr>
      <w:rPr>
        <w:rFonts w:ascii="Symbol" w:hAnsi="Symbol" w:cs="Symbol"/>
      </w:rPr>
    </w:lvl>
  </w:abstractNum>
  <w:abstractNum w:abstractNumId="2">
    <w:nsid w:val="00000007"/>
    <w:multiLevelType w:val="singleLevel"/>
    <w:tmpl w:val="00000007"/>
    <w:name w:val="WW8Num8"/>
    <w:lvl w:ilvl="0">
      <w:start w:val="2"/>
      <w:numFmt w:val="decimal"/>
      <w:lvlText w:val="%1."/>
      <w:lvlJc w:val="left"/>
      <w:pPr>
        <w:tabs>
          <w:tab w:val="num" w:pos="1080"/>
        </w:tabs>
        <w:ind w:left="1080" w:hanging="360"/>
      </w:pPr>
    </w:lvl>
  </w:abstractNum>
  <w:abstractNum w:abstractNumId="3">
    <w:nsid w:val="0000000F"/>
    <w:multiLevelType w:val="multilevel"/>
    <w:tmpl w:val="17101710"/>
    <w:name w:val="WW8Num1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Andale Sans UI" w:hAnsi="Times New Roman" w:cs="Times New Roman"/>
      </w:rPr>
    </w:lvl>
    <w:lvl w:ilvl="2">
      <w:start w:val="1"/>
      <w:numFmt w:val="upperRoman"/>
      <w:lvlText w:val="%3&gt;"/>
      <w:lvlJc w:val="left"/>
      <w:pPr>
        <w:tabs>
          <w:tab w:val="num" w:pos="0"/>
        </w:tabs>
        <w:ind w:left="2700" w:hanging="720"/>
      </w:p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1E67425"/>
    <w:multiLevelType w:val="multilevel"/>
    <w:tmpl w:val="62502262"/>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A6A2C62"/>
    <w:multiLevelType w:val="hybridMultilevel"/>
    <w:tmpl w:val="E8EAE43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8">
    <w:nsid w:val="113B2667"/>
    <w:multiLevelType w:val="hybridMultilevel"/>
    <w:tmpl w:val="B96282E2"/>
    <w:lvl w:ilvl="0" w:tplc="F57A0322">
      <w:start w:val="1"/>
      <w:numFmt w:val="decimal"/>
      <w:lvlText w:val="%1."/>
      <w:lvlJc w:val="left"/>
      <w:pPr>
        <w:tabs>
          <w:tab w:val="num" w:pos="927"/>
        </w:tabs>
        <w:ind w:left="927" w:hanging="360"/>
      </w:pPr>
      <w:rPr>
        <w:rFonts w:cs="Arial" w:hint="default"/>
        <w:color w:val="00000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nsid w:val="19D37ACF"/>
    <w:multiLevelType w:val="hybridMultilevel"/>
    <w:tmpl w:val="FB8E442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E35E4A3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1B5F90"/>
    <w:multiLevelType w:val="hybridMultilevel"/>
    <w:tmpl w:val="D0BA2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630B6B"/>
    <w:multiLevelType w:val="multilevel"/>
    <w:tmpl w:val="8AAC5980"/>
    <w:lvl w:ilvl="0">
      <w:start w:val="12"/>
      <w:numFmt w:val="decimal"/>
      <w:lvlText w:val="%1"/>
      <w:lvlJc w:val="left"/>
      <w:pPr>
        <w:ind w:left="420" w:hanging="420"/>
      </w:pPr>
      <w:rPr>
        <w:rFonts w:eastAsiaTheme="minorHAnsi" w:hint="default"/>
      </w:rPr>
    </w:lvl>
    <w:lvl w:ilvl="1">
      <w:start w:val="9"/>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nsid w:val="2D8D2EA0"/>
    <w:multiLevelType w:val="hybridMultilevel"/>
    <w:tmpl w:val="4FE69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6B2965"/>
    <w:multiLevelType w:val="hybridMultilevel"/>
    <w:tmpl w:val="DAC40D34"/>
    <w:lvl w:ilvl="0" w:tplc="7C901B68">
      <w:numFmt w:val="bullet"/>
      <w:lvlText w:val="•"/>
      <w:lvlJc w:val="left"/>
      <w:pPr>
        <w:ind w:left="525" w:hanging="360"/>
      </w:pPr>
      <w:rPr>
        <w:rFonts w:ascii="Times New Roman" w:eastAsia="Times New Roman" w:hAnsi="Times New Roman" w:cs="Times New Roman"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14">
    <w:nsid w:val="315B3EDC"/>
    <w:multiLevelType w:val="multilevel"/>
    <w:tmpl w:val="E99A434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2511915"/>
    <w:multiLevelType w:val="multilevel"/>
    <w:tmpl w:val="52260228"/>
    <w:lvl w:ilvl="0">
      <w:start w:val="4"/>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36D95DCB"/>
    <w:multiLevelType w:val="hybridMultilevel"/>
    <w:tmpl w:val="FC7483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90E0CA4"/>
    <w:multiLevelType w:val="multilevel"/>
    <w:tmpl w:val="2F26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850FC8"/>
    <w:multiLevelType w:val="hybridMultilevel"/>
    <w:tmpl w:val="59E87CD4"/>
    <w:lvl w:ilvl="0" w:tplc="E5FA5A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455323F"/>
    <w:multiLevelType w:val="hybridMultilevel"/>
    <w:tmpl w:val="8F461BD0"/>
    <w:lvl w:ilvl="0" w:tplc="080C04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4D1E2C65"/>
    <w:multiLevelType w:val="multilevel"/>
    <w:tmpl w:val="891A3998"/>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4D336768"/>
    <w:multiLevelType w:val="hybridMultilevel"/>
    <w:tmpl w:val="63F0826C"/>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1A03DA"/>
    <w:multiLevelType w:val="hybridMultilevel"/>
    <w:tmpl w:val="D78A73D4"/>
    <w:lvl w:ilvl="0" w:tplc="37F2A282">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3">
    <w:nsid w:val="597C2C7A"/>
    <w:multiLevelType w:val="multilevel"/>
    <w:tmpl w:val="0B38AD48"/>
    <w:lvl w:ilvl="0">
      <w:start w:val="12"/>
      <w:numFmt w:val="decimal"/>
      <w:lvlText w:val="%1"/>
      <w:lvlJc w:val="left"/>
      <w:pPr>
        <w:ind w:left="540" w:hanging="540"/>
      </w:pPr>
      <w:rPr>
        <w:rFonts w:eastAsia="Arial Unicode MS" w:hint="default"/>
      </w:rPr>
    </w:lvl>
    <w:lvl w:ilvl="1">
      <w:start w:val="16"/>
      <w:numFmt w:val="decimal"/>
      <w:lvlText w:val="%1.%2"/>
      <w:lvlJc w:val="left"/>
      <w:pPr>
        <w:ind w:left="540" w:hanging="54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nsid w:val="5BF91C08"/>
    <w:multiLevelType w:val="multilevel"/>
    <w:tmpl w:val="11B0F688"/>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D927960"/>
    <w:multiLevelType w:val="multilevel"/>
    <w:tmpl w:val="3980428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BB2FDD"/>
    <w:multiLevelType w:val="hybridMultilevel"/>
    <w:tmpl w:val="D1AC4BA4"/>
    <w:lvl w:ilvl="0" w:tplc="7C901B68">
      <w:numFmt w:val="bullet"/>
      <w:lvlText w:val="•"/>
      <w:lvlJc w:val="left"/>
      <w:pPr>
        <w:ind w:left="525"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6"/>
  </w:num>
  <w:num w:numId="5">
    <w:abstractNumId w:val="19"/>
  </w:num>
  <w:num w:numId="6">
    <w:abstractNumId w:val="18"/>
  </w:num>
  <w:num w:numId="7">
    <w:abstractNumId w:val="8"/>
  </w:num>
  <w:num w:numId="8">
    <w:abstractNumId w:val="22"/>
  </w:num>
  <w:num w:numId="9">
    <w:abstractNumId w:val="9"/>
  </w:num>
  <w:num w:numId="10">
    <w:abstractNumId w:val="21"/>
  </w:num>
  <w:num w:numId="11">
    <w:abstractNumId w:val="24"/>
  </w:num>
  <w:num w:numId="12">
    <w:abstractNumId w:val="14"/>
  </w:num>
  <w:num w:numId="13">
    <w:abstractNumId w:val="16"/>
  </w:num>
  <w:num w:numId="14">
    <w:abstractNumId w:val="7"/>
  </w:num>
  <w:num w:numId="15">
    <w:abstractNumId w:val="10"/>
  </w:num>
  <w:num w:numId="16">
    <w:abstractNumId w:val="13"/>
  </w:num>
  <w:num w:numId="17">
    <w:abstractNumId w:val="26"/>
  </w:num>
  <w:num w:numId="18">
    <w:abstractNumId w:val="15"/>
  </w:num>
  <w:num w:numId="19">
    <w:abstractNumId w:val="0"/>
  </w:num>
  <w:num w:numId="20">
    <w:abstractNumId w:val="2"/>
  </w:num>
  <w:num w:numId="21">
    <w:abstractNumId w:val="17"/>
  </w:num>
  <w:num w:numId="22">
    <w:abstractNumId w:val="25"/>
  </w:num>
  <w:num w:numId="23">
    <w:abstractNumId w:val="23"/>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34"/>
    <w:rsid w:val="00007045"/>
    <w:rsid w:val="000070B9"/>
    <w:rsid w:val="00022C72"/>
    <w:rsid w:val="000360B2"/>
    <w:rsid w:val="0004166B"/>
    <w:rsid w:val="0005003A"/>
    <w:rsid w:val="00051C4D"/>
    <w:rsid w:val="00061364"/>
    <w:rsid w:val="0007122E"/>
    <w:rsid w:val="00077FE8"/>
    <w:rsid w:val="00097717"/>
    <w:rsid w:val="000A02DB"/>
    <w:rsid w:val="000A174A"/>
    <w:rsid w:val="000A2F45"/>
    <w:rsid w:val="000A6A9D"/>
    <w:rsid w:val="000C5DA3"/>
    <w:rsid w:val="000C6828"/>
    <w:rsid w:val="000D101C"/>
    <w:rsid w:val="000D17BB"/>
    <w:rsid w:val="000E6ACE"/>
    <w:rsid w:val="000F1CBA"/>
    <w:rsid w:val="000F6857"/>
    <w:rsid w:val="0010788F"/>
    <w:rsid w:val="001159E2"/>
    <w:rsid w:val="00122913"/>
    <w:rsid w:val="0014568F"/>
    <w:rsid w:val="00164D53"/>
    <w:rsid w:val="00172623"/>
    <w:rsid w:val="00181592"/>
    <w:rsid w:val="0018405F"/>
    <w:rsid w:val="001A05A0"/>
    <w:rsid w:val="001A19ED"/>
    <w:rsid w:val="001A220B"/>
    <w:rsid w:val="001A7CA1"/>
    <w:rsid w:val="001B58F6"/>
    <w:rsid w:val="001C53F2"/>
    <w:rsid w:val="001C6818"/>
    <w:rsid w:val="001D0B18"/>
    <w:rsid w:val="001D6282"/>
    <w:rsid w:val="001E52AF"/>
    <w:rsid w:val="001F121C"/>
    <w:rsid w:val="0020033D"/>
    <w:rsid w:val="00240C7E"/>
    <w:rsid w:val="00260AF6"/>
    <w:rsid w:val="0026186E"/>
    <w:rsid w:val="00266F11"/>
    <w:rsid w:val="0026780C"/>
    <w:rsid w:val="0028362B"/>
    <w:rsid w:val="00284CDC"/>
    <w:rsid w:val="0028715E"/>
    <w:rsid w:val="00293C9C"/>
    <w:rsid w:val="002970F2"/>
    <w:rsid w:val="002B351F"/>
    <w:rsid w:val="002C0F9D"/>
    <w:rsid w:val="002C3F03"/>
    <w:rsid w:val="002C699D"/>
    <w:rsid w:val="002D5913"/>
    <w:rsid w:val="002F1BF0"/>
    <w:rsid w:val="002F1C1A"/>
    <w:rsid w:val="002F3ED0"/>
    <w:rsid w:val="003009E6"/>
    <w:rsid w:val="00323746"/>
    <w:rsid w:val="003305DF"/>
    <w:rsid w:val="00364187"/>
    <w:rsid w:val="003724DA"/>
    <w:rsid w:val="003940C0"/>
    <w:rsid w:val="003A460B"/>
    <w:rsid w:val="003B05C3"/>
    <w:rsid w:val="003B0C68"/>
    <w:rsid w:val="003B53BE"/>
    <w:rsid w:val="003C0A46"/>
    <w:rsid w:val="003D7BCF"/>
    <w:rsid w:val="003E70D5"/>
    <w:rsid w:val="003F29DD"/>
    <w:rsid w:val="003F52A0"/>
    <w:rsid w:val="00405CFF"/>
    <w:rsid w:val="00407895"/>
    <w:rsid w:val="00427C3F"/>
    <w:rsid w:val="004364EE"/>
    <w:rsid w:val="00446492"/>
    <w:rsid w:val="004557AE"/>
    <w:rsid w:val="004831E1"/>
    <w:rsid w:val="004832E2"/>
    <w:rsid w:val="004A390E"/>
    <w:rsid w:val="004A48D9"/>
    <w:rsid w:val="004C0065"/>
    <w:rsid w:val="004C39E4"/>
    <w:rsid w:val="004C3EB8"/>
    <w:rsid w:val="004C42DF"/>
    <w:rsid w:val="004E1EF9"/>
    <w:rsid w:val="004E249D"/>
    <w:rsid w:val="004E6FF3"/>
    <w:rsid w:val="004F1576"/>
    <w:rsid w:val="0050054B"/>
    <w:rsid w:val="00507941"/>
    <w:rsid w:val="00532199"/>
    <w:rsid w:val="00533134"/>
    <w:rsid w:val="00551AA2"/>
    <w:rsid w:val="00553C1C"/>
    <w:rsid w:val="00554A3D"/>
    <w:rsid w:val="00557C35"/>
    <w:rsid w:val="00564ED9"/>
    <w:rsid w:val="00566EBC"/>
    <w:rsid w:val="005671F0"/>
    <w:rsid w:val="0057226F"/>
    <w:rsid w:val="00586F48"/>
    <w:rsid w:val="005909BE"/>
    <w:rsid w:val="005919A7"/>
    <w:rsid w:val="00597F41"/>
    <w:rsid w:val="005B5284"/>
    <w:rsid w:val="005D6E1D"/>
    <w:rsid w:val="005E5379"/>
    <w:rsid w:val="005F115C"/>
    <w:rsid w:val="00616607"/>
    <w:rsid w:val="00617DE7"/>
    <w:rsid w:val="00621B41"/>
    <w:rsid w:val="006227FB"/>
    <w:rsid w:val="006319AE"/>
    <w:rsid w:val="006350DF"/>
    <w:rsid w:val="00652A2A"/>
    <w:rsid w:val="00680E87"/>
    <w:rsid w:val="00682668"/>
    <w:rsid w:val="006932AA"/>
    <w:rsid w:val="00693632"/>
    <w:rsid w:val="006A0309"/>
    <w:rsid w:val="006A799B"/>
    <w:rsid w:val="006B39B6"/>
    <w:rsid w:val="006B5471"/>
    <w:rsid w:val="006B7F76"/>
    <w:rsid w:val="006C0A06"/>
    <w:rsid w:val="006E0C84"/>
    <w:rsid w:val="006E138A"/>
    <w:rsid w:val="006F3E1F"/>
    <w:rsid w:val="007014F0"/>
    <w:rsid w:val="00714ED3"/>
    <w:rsid w:val="00716040"/>
    <w:rsid w:val="00726A0E"/>
    <w:rsid w:val="0074390D"/>
    <w:rsid w:val="00782AE6"/>
    <w:rsid w:val="00782B36"/>
    <w:rsid w:val="007B3231"/>
    <w:rsid w:val="007F1112"/>
    <w:rsid w:val="00806071"/>
    <w:rsid w:val="00810FD4"/>
    <w:rsid w:val="00813E4E"/>
    <w:rsid w:val="00823819"/>
    <w:rsid w:val="008257C7"/>
    <w:rsid w:val="00826ED5"/>
    <w:rsid w:val="00842F33"/>
    <w:rsid w:val="008437E1"/>
    <w:rsid w:val="00843858"/>
    <w:rsid w:val="00844A34"/>
    <w:rsid w:val="00851710"/>
    <w:rsid w:val="00857A74"/>
    <w:rsid w:val="00857A7D"/>
    <w:rsid w:val="00863091"/>
    <w:rsid w:val="0086325A"/>
    <w:rsid w:val="0086669D"/>
    <w:rsid w:val="00870E81"/>
    <w:rsid w:val="00874233"/>
    <w:rsid w:val="00881B50"/>
    <w:rsid w:val="00886237"/>
    <w:rsid w:val="008A06AB"/>
    <w:rsid w:val="008A71F9"/>
    <w:rsid w:val="008C3C20"/>
    <w:rsid w:val="008C627F"/>
    <w:rsid w:val="008D605C"/>
    <w:rsid w:val="008E1133"/>
    <w:rsid w:val="008E3412"/>
    <w:rsid w:val="00901A30"/>
    <w:rsid w:val="00915A32"/>
    <w:rsid w:val="00942A7C"/>
    <w:rsid w:val="00942BE3"/>
    <w:rsid w:val="00951CA4"/>
    <w:rsid w:val="00971104"/>
    <w:rsid w:val="00971CDD"/>
    <w:rsid w:val="00973462"/>
    <w:rsid w:val="009748C0"/>
    <w:rsid w:val="009832AE"/>
    <w:rsid w:val="00985050"/>
    <w:rsid w:val="00986F38"/>
    <w:rsid w:val="009921CA"/>
    <w:rsid w:val="00993C29"/>
    <w:rsid w:val="009B08DA"/>
    <w:rsid w:val="009B1D6B"/>
    <w:rsid w:val="009C1453"/>
    <w:rsid w:val="009F3160"/>
    <w:rsid w:val="009F4AE1"/>
    <w:rsid w:val="009F5981"/>
    <w:rsid w:val="009F7B7C"/>
    <w:rsid w:val="00A07A49"/>
    <w:rsid w:val="00A07E23"/>
    <w:rsid w:val="00A22C49"/>
    <w:rsid w:val="00A24DBE"/>
    <w:rsid w:val="00A3170E"/>
    <w:rsid w:val="00A373D9"/>
    <w:rsid w:val="00A46E90"/>
    <w:rsid w:val="00A47998"/>
    <w:rsid w:val="00A54B7F"/>
    <w:rsid w:val="00A55342"/>
    <w:rsid w:val="00A61D17"/>
    <w:rsid w:val="00A64DAA"/>
    <w:rsid w:val="00A83933"/>
    <w:rsid w:val="00A90BED"/>
    <w:rsid w:val="00AA3AED"/>
    <w:rsid w:val="00AC2270"/>
    <w:rsid w:val="00AC4B20"/>
    <w:rsid w:val="00AD1756"/>
    <w:rsid w:val="00AE6B92"/>
    <w:rsid w:val="00AF738A"/>
    <w:rsid w:val="00B27983"/>
    <w:rsid w:val="00B31E50"/>
    <w:rsid w:val="00B55AC5"/>
    <w:rsid w:val="00B63330"/>
    <w:rsid w:val="00B8192F"/>
    <w:rsid w:val="00BA4FDC"/>
    <w:rsid w:val="00BC1C06"/>
    <w:rsid w:val="00BC29CA"/>
    <w:rsid w:val="00BC5B58"/>
    <w:rsid w:val="00BC601D"/>
    <w:rsid w:val="00BD129F"/>
    <w:rsid w:val="00BE478C"/>
    <w:rsid w:val="00BE6AC9"/>
    <w:rsid w:val="00BF3455"/>
    <w:rsid w:val="00BF5E75"/>
    <w:rsid w:val="00BF67FB"/>
    <w:rsid w:val="00C021F1"/>
    <w:rsid w:val="00C02392"/>
    <w:rsid w:val="00C105E9"/>
    <w:rsid w:val="00C17C36"/>
    <w:rsid w:val="00C22DBD"/>
    <w:rsid w:val="00C27C95"/>
    <w:rsid w:val="00C30D78"/>
    <w:rsid w:val="00C36A8E"/>
    <w:rsid w:val="00C53021"/>
    <w:rsid w:val="00C61937"/>
    <w:rsid w:val="00C63E82"/>
    <w:rsid w:val="00C7161C"/>
    <w:rsid w:val="00C71854"/>
    <w:rsid w:val="00C72668"/>
    <w:rsid w:val="00C769D0"/>
    <w:rsid w:val="00C809AA"/>
    <w:rsid w:val="00C81692"/>
    <w:rsid w:val="00C91594"/>
    <w:rsid w:val="00C916E8"/>
    <w:rsid w:val="00C963C7"/>
    <w:rsid w:val="00C9704B"/>
    <w:rsid w:val="00CA5B0A"/>
    <w:rsid w:val="00CB174F"/>
    <w:rsid w:val="00CB6330"/>
    <w:rsid w:val="00CB758A"/>
    <w:rsid w:val="00CC70EA"/>
    <w:rsid w:val="00CD6EF7"/>
    <w:rsid w:val="00CE1305"/>
    <w:rsid w:val="00CE1C8D"/>
    <w:rsid w:val="00CE65C8"/>
    <w:rsid w:val="00CF2B21"/>
    <w:rsid w:val="00CF4B76"/>
    <w:rsid w:val="00D0635B"/>
    <w:rsid w:val="00D13FCA"/>
    <w:rsid w:val="00D1792A"/>
    <w:rsid w:val="00D22407"/>
    <w:rsid w:val="00D24AA5"/>
    <w:rsid w:val="00D25E54"/>
    <w:rsid w:val="00D5636B"/>
    <w:rsid w:val="00D62C9D"/>
    <w:rsid w:val="00DA628A"/>
    <w:rsid w:val="00DC4E63"/>
    <w:rsid w:val="00DC6F24"/>
    <w:rsid w:val="00DF7BBD"/>
    <w:rsid w:val="00E21061"/>
    <w:rsid w:val="00E24B79"/>
    <w:rsid w:val="00E27E4C"/>
    <w:rsid w:val="00E33970"/>
    <w:rsid w:val="00E42A44"/>
    <w:rsid w:val="00E53600"/>
    <w:rsid w:val="00E53D39"/>
    <w:rsid w:val="00E65308"/>
    <w:rsid w:val="00EA1DBB"/>
    <w:rsid w:val="00EB4D3D"/>
    <w:rsid w:val="00EB6E1A"/>
    <w:rsid w:val="00EC345A"/>
    <w:rsid w:val="00EE3C63"/>
    <w:rsid w:val="00EE6894"/>
    <w:rsid w:val="00EF01C2"/>
    <w:rsid w:val="00EF0C97"/>
    <w:rsid w:val="00EF3E29"/>
    <w:rsid w:val="00EF7F1F"/>
    <w:rsid w:val="00F00041"/>
    <w:rsid w:val="00F023CC"/>
    <w:rsid w:val="00F109DF"/>
    <w:rsid w:val="00F13190"/>
    <w:rsid w:val="00F13656"/>
    <w:rsid w:val="00F44DBD"/>
    <w:rsid w:val="00F44E99"/>
    <w:rsid w:val="00F512F9"/>
    <w:rsid w:val="00F563F9"/>
    <w:rsid w:val="00F60A20"/>
    <w:rsid w:val="00F62C9A"/>
    <w:rsid w:val="00F657EA"/>
    <w:rsid w:val="00F72674"/>
    <w:rsid w:val="00FA479C"/>
    <w:rsid w:val="00FC050E"/>
    <w:rsid w:val="00FD0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A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4A34"/>
    <w:pPr>
      <w:tabs>
        <w:tab w:val="center" w:pos="4536"/>
        <w:tab w:val="right" w:pos="9072"/>
      </w:tabs>
    </w:pPr>
  </w:style>
  <w:style w:type="character" w:customStyle="1" w:styleId="NagwekZnak">
    <w:name w:val="Nagłówek Znak"/>
    <w:basedOn w:val="Domylnaczcionkaakapitu"/>
    <w:link w:val="Nagwek"/>
    <w:uiPriority w:val="99"/>
    <w:rsid w:val="00844A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4A34"/>
    <w:pPr>
      <w:tabs>
        <w:tab w:val="center" w:pos="4536"/>
        <w:tab w:val="right" w:pos="9072"/>
      </w:tabs>
    </w:pPr>
  </w:style>
  <w:style w:type="character" w:customStyle="1" w:styleId="StopkaZnak">
    <w:name w:val="Stopka Znak"/>
    <w:basedOn w:val="Domylnaczcionkaakapitu"/>
    <w:link w:val="Stopka"/>
    <w:uiPriority w:val="99"/>
    <w:rsid w:val="00844A34"/>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844A34"/>
    <w:pPr>
      <w:ind w:left="720"/>
      <w:contextualSpacing/>
    </w:pPr>
  </w:style>
  <w:style w:type="paragraph" w:customStyle="1" w:styleId="Standard">
    <w:name w:val="Standard"/>
    <w:rsid w:val="00844A3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Uwydatnienie">
    <w:name w:val="Emphasis"/>
    <w:uiPriority w:val="20"/>
    <w:qFormat/>
    <w:rsid w:val="00172623"/>
    <w:rPr>
      <w:i/>
      <w:iCs/>
      <w:color w:val="auto"/>
    </w:rPr>
  </w:style>
  <w:style w:type="character" w:customStyle="1" w:styleId="T111Znak">
    <w:name w:val="T111 Znak"/>
    <w:basedOn w:val="Domylnaczcionkaakapitu"/>
    <w:link w:val="T111"/>
    <w:rsid w:val="00172623"/>
    <w:rPr>
      <w:rFonts w:ascii="Arial" w:eastAsia="Calibri" w:hAnsi="Arial"/>
      <w:color w:val="000000"/>
      <w:sz w:val="24"/>
      <w:szCs w:val="24"/>
      <w:lang w:eastAsia="ar-SA"/>
    </w:rPr>
  </w:style>
  <w:style w:type="paragraph" w:customStyle="1" w:styleId="T111">
    <w:name w:val="T111"/>
    <w:basedOn w:val="Normalny"/>
    <w:link w:val="T111Znak"/>
    <w:qFormat/>
    <w:rsid w:val="00172623"/>
    <w:pPr>
      <w:spacing w:after="120" w:line="259" w:lineRule="auto"/>
      <w:ind w:left="1276"/>
    </w:pPr>
    <w:rPr>
      <w:rFonts w:ascii="Arial" w:eastAsia="Calibri" w:hAnsi="Arial" w:cstheme="minorBidi"/>
      <w:color w:val="000000"/>
      <w:lang w:eastAsia="ar-SA"/>
    </w:rPr>
  </w:style>
  <w:style w:type="character" w:customStyle="1" w:styleId="Teksttreci2">
    <w:name w:val="Tekst treści (2)"/>
    <w:rsid w:val="001726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paragraph" w:customStyle="1" w:styleId="Default">
    <w:name w:val="Default"/>
    <w:rsid w:val="00881B5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881B50"/>
  </w:style>
  <w:style w:type="paragraph" w:customStyle="1" w:styleId="Styl3">
    <w:name w:val="Styl3"/>
    <w:basedOn w:val="Normalny"/>
    <w:rsid w:val="00881B50"/>
    <w:pPr>
      <w:numPr>
        <w:numId w:val="2"/>
      </w:numPr>
      <w:tabs>
        <w:tab w:val="clear" w:pos="212"/>
        <w:tab w:val="num" w:pos="0"/>
      </w:tabs>
      <w:autoSpaceDE w:val="0"/>
      <w:ind w:left="1425"/>
    </w:pPr>
    <w:rPr>
      <w:rFonts w:ascii="Arial" w:hAnsi="Arial" w:cs="Arial"/>
      <w:bCs/>
      <w:lang w:eastAsia="ar-SA"/>
    </w:rPr>
  </w:style>
  <w:style w:type="paragraph" w:customStyle="1" w:styleId="Styl10">
    <w:name w:val="Styl10"/>
    <w:basedOn w:val="Styl3"/>
    <w:link w:val="Styl10Znak"/>
    <w:qFormat/>
    <w:rsid w:val="00881B50"/>
    <w:pPr>
      <w:ind w:left="1418" w:hanging="284"/>
    </w:pPr>
    <w:rPr>
      <w:rFonts w:eastAsia="Verdana"/>
    </w:rPr>
  </w:style>
  <w:style w:type="character" w:customStyle="1" w:styleId="Styl10Znak">
    <w:name w:val="Styl10 Znak"/>
    <w:link w:val="Styl10"/>
    <w:rsid w:val="00881B50"/>
    <w:rPr>
      <w:rFonts w:ascii="Arial" w:eastAsia="Verdana" w:hAnsi="Arial" w:cs="Arial"/>
      <w:bCs/>
      <w:sz w:val="24"/>
      <w:szCs w:val="24"/>
      <w:lang w:eastAsia="ar-SA"/>
    </w:rPr>
  </w:style>
  <w:style w:type="paragraph" w:styleId="Tekstpodstawowy2">
    <w:name w:val="Body Text 2"/>
    <w:basedOn w:val="Normalny"/>
    <w:link w:val="Tekstpodstawowy2Znak"/>
    <w:unhideWhenUsed/>
    <w:rsid w:val="00CF4B76"/>
    <w:pPr>
      <w:jc w:val="both"/>
    </w:pPr>
    <w:rPr>
      <w:rFonts w:ascii="Arial" w:hAnsi="Arial" w:cs="Arial"/>
    </w:rPr>
  </w:style>
  <w:style w:type="character" w:customStyle="1" w:styleId="Tekstpodstawowy2Znak">
    <w:name w:val="Tekst podstawowy 2 Znak"/>
    <w:basedOn w:val="Domylnaczcionkaakapitu"/>
    <w:link w:val="Tekstpodstawowy2"/>
    <w:rsid w:val="00CF4B76"/>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C916E8"/>
    <w:pPr>
      <w:spacing w:after="120"/>
    </w:pPr>
  </w:style>
  <w:style w:type="character" w:customStyle="1" w:styleId="TekstpodstawowyZnak">
    <w:name w:val="Tekst podstawowy Znak"/>
    <w:basedOn w:val="Domylnaczcionkaakapitu"/>
    <w:link w:val="Tekstpodstawowy"/>
    <w:uiPriority w:val="99"/>
    <w:semiHidden/>
    <w:rsid w:val="00C916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C916E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916E8"/>
    <w:rPr>
      <w:rFonts w:ascii="Times New Roman" w:eastAsia="Times New Roman" w:hAnsi="Times New Roman" w:cs="Times New Roman"/>
      <w:sz w:val="16"/>
      <w:szCs w:val="16"/>
      <w:lang w:eastAsia="pl-PL"/>
    </w:rPr>
  </w:style>
  <w:style w:type="paragraph" w:styleId="Bezodstpw">
    <w:name w:val="No Spacing"/>
    <w:uiPriority w:val="1"/>
    <w:qFormat/>
    <w:rsid w:val="00C916E8"/>
    <w:pPr>
      <w:spacing w:after="0" w:line="240" w:lineRule="auto"/>
    </w:pPr>
    <w:rPr>
      <w:rFonts w:ascii="Times New Roman" w:eastAsia="Times New Roman" w:hAnsi="Times New Roman" w:cs="Times New Roman"/>
      <w:sz w:val="24"/>
      <w:szCs w:val="24"/>
      <w:lang w:eastAsia="pl-PL"/>
    </w:rPr>
  </w:style>
  <w:style w:type="character" w:customStyle="1" w:styleId="FontStyle32">
    <w:name w:val="Font Style32"/>
    <w:rsid w:val="003940C0"/>
    <w:rPr>
      <w:rFonts w:ascii="Arial Unicode MS" w:eastAsia="Arial Unicode MS" w:hAnsi="Arial Unicode MS" w:cs="Arial Unicode MS" w:hint="eastAsia"/>
      <w:sz w:val="14"/>
      <w:szCs w:val="14"/>
    </w:rPr>
  </w:style>
  <w:style w:type="paragraph" w:customStyle="1" w:styleId="Akapitzlist1">
    <w:name w:val="Akapit z listą1"/>
    <w:basedOn w:val="Normalny"/>
    <w:rsid w:val="006E0C84"/>
    <w:pPr>
      <w:suppressAutoHyphens/>
      <w:spacing w:after="200" w:line="276" w:lineRule="auto"/>
      <w:ind w:left="720"/>
      <w:contextualSpacing/>
    </w:pPr>
    <w:rPr>
      <w:rFonts w:ascii="Calibri" w:eastAsia="SimSun" w:hAnsi="Calibri" w:cs="Calibri"/>
      <w:sz w:val="22"/>
      <w:szCs w:val="22"/>
      <w:lang w:eastAsia="zh-CN"/>
    </w:rPr>
  </w:style>
  <w:style w:type="paragraph" w:customStyle="1" w:styleId="ust">
    <w:name w:val="ust"/>
    <w:rsid w:val="008E341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85050"/>
    <w:rPr>
      <w:rFonts w:ascii="Tahoma" w:hAnsi="Tahoma" w:cs="Tahoma"/>
      <w:sz w:val="16"/>
      <w:szCs w:val="16"/>
    </w:rPr>
  </w:style>
  <w:style w:type="character" w:customStyle="1" w:styleId="TekstdymkaZnak">
    <w:name w:val="Tekst dymka Znak"/>
    <w:basedOn w:val="Domylnaczcionkaakapitu"/>
    <w:link w:val="Tekstdymka"/>
    <w:uiPriority w:val="99"/>
    <w:semiHidden/>
    <w:rsid w:val="0098505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A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4A34"/>
    <w:pPr>
      <w:tabs>
        <w:tab w:val="center" w:pos="4536"/>
        <w:tab w:val="right" w:pos="9072"/>
      </w:tabs>
    </w:pPr>
  </w:style>
  <w:style w:type="character" w:customStyle="1" w:styleId="NagwekZnak">
    <w:name w:val="Nagłówek Znak"/>
    <w:basedOn w:val="Domylnaczcionkaakapitu"/>
    <w:link w:val="Nagwek"/>
    <w:uiPriority w:val="99"/>
    <w:rsid w:val="00844A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4A34"/>
    <w:pPr>
      <w:tabs>
        <w:tab w:val="center" w:pos="4536"/>
        <w:tab w:val="right" w:pos="9072"/>
      </w:tabs>
    </w:pPr>
  </w:style>
  <w:style w:type="character" w:customStyle="1" w:styleId="StopkaZnak">
    <w:name w:val="Stopka Znak"/>
    <w:basedOn w:val="Domylnaczcionkaakapitu"/>
    <w:link w:val="Stopka"/>
    <w:uiPriority w:val="99"/>
    <w:rsid w:val="00844A34"/>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844A34"/>
    <w:pPr>
      <w:ind w:left="720"/>
      <w:contextualSpacing/>
    </w:pPr>
  </w:style>
  <w:style w:type="paragraph" w:customStyle="1" w:styleId="Standard">
    <w:name w:val="Standard"/>
    <w:rsid w:val="00844A3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Uwydatnienie">
    <w:name w:val="Emphasis"/>
    <w:uiPriority w:val="20"/>
    <w:qFormat/>
    <w:rsid w:val="00172623"/>
    <w:rPr>
      <w:i/>
      <w:iCs/>
      <w:color w:val="auto"/>
    </w:rPr>
  </w:style>
  <w:style w:type="character" w:customStyle="1" w:styleId="T111Znak">
    <w:name w:val="T111 Znak"/>
    <w:basedOn w:val="Domylnaczcionkaakapitu"/>
    <w:link w:val="T111"/>
    <w:rsid w:val="00172623"/>
    <w:rPr>
      <w:rFonts w:ascii="Arial" w:eastAsia="Calibri" w:hAnsi="Arial"/>
      <w:color w:val="000000"/>
      <w:sz w:val="24"/>
      <w:szCs w:val="24"/>
      <w:lang w:eastAsia="ar-SA"/>
    </w:rPr>
  </w:style>
  <w:style w:type="paragraph" w:customStyle="1" w:styleId="T111">
    <w:name w:val="T111"/>
    <w:basedOn w:val="Normalny"/>
    <w:link w:val="T111Znak"/>
    <w:qFormat/>
    <w:rsid w:val="00172623"/>
    <w:pPr>
      <w:spacing w:after="120" w:line="259" w:lineRule="auto"/>
      <w:ind w:left="1276"/>
    </w:pPr>
    <w:rPr>
      <w:rFonts w:ascii="Arial" w:eastAsia="Calibri" w:hAnsi="Arial" w:cstheme="minorBidi"/>
      <w:color w:val="000000"/>
      <w:lang w:eastAsia="ar-SA"/>
    </w:rPr>
  </w:style>
  <w:style w:type="character" w:customStyle="1" w:styleId="Teksttreci2">
    <w:name w:val="Tekst treści (2)"/>
    <w:rsid w:val="001726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paragraph" w:customStyle="1" w:styleId="Default">
    <w:name w:val="Default"/>
    <w:rsid w:val="00881B5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881B50"/>
  </w:style>
  <w:style w:type="paragraph" w:customStyle="1" w:styleId="Styl3">
    <w:name w:val="Styl3"/>
    <w:basedOn w:val="Normalny"/>
    <w:rsid w:val="00881B50"/>
    <w:pPr>
      <w:numPr>
        <w:numId w:val="2"/>
      </w:numPr>
      <w:tabs>
        <w:tab w:val="clear" w:pos="212"/>
        <w:tab w:val="num" w:pos="0"/>
      </w:tabs>
      <w:autoSpaceDE w:val="0"/>
      <w:ind w:left="1425"/>
    </w:pPr>
    <w:rPr>
      <w:rFonts w:ascii="Arial" w:hAnsi="Arial" w:cs="Arial"/>
      <w:bCs/>
      <w:lang w:eastAsia="ar-SA"/>
    </w:rPr>
  </w:style>
  <w:style w:type="paragraph" w:customStyle="1" w:styleId="Styl10">
    <w:name w:val="Styl10"/>
    <w:basedOn w:val="Styl3"/>
    <w:link w:val="Styl10Znak"/>
    <w:qFormat/>
    <w:rsid w:val="00881B50"/>
    <w:pPr>
      <w:ind w:left="1418" w:hanging="284"/>
    </w:pPr>
    <w:rPr>
      <w:rFonts w:eastAsia="Verdana"/>
    </w:rPr>
  </w:style>
  <w:style w:type="character" w:customStyle="1" w:styleId="Styl10Znak">
    <w:name w:val="Styl10 Znak"/>
    <w:link w:val="Styl10"/>
    <w:rsid w:val="00881B50"/>
    <w:rPr>
      <w:rFonts w:ascii="Arial" w:eastAsia="Verdana" w:hAnsi="Arial" w:cs="Arial"/>
      <w:bCs/>
      <w:sz w:val="24"/>
      <w:szCs w:val="24"/>
      <w:lang w:eastAsia="ar-SA"/>
    </w:rPr>
  </w:style>
  <w:style w:type="paragraph" w:styleId="Tekstpodstawowy2">
    <w:name w:val="Body Text 2"/>
    <w:basedOn w:val="Normalny"/>
    <w:link w:val="Tekstpodstawowy2Znak"/>
    <w:unhideWhenUsed/>
    <w:rsid w:val="00CF4B76"/>
    <w:pPr>
      <w:jc w:val="both"/>
    </w:pPr>
    <w:rPr>
      <w:rFonts w:ascii="Arial" w:hAnsi="Arial" w:cs="Arial"/>
    </w:rPr>
  </w:style>
  <w:style w:type="character" w:customStyle="1" w:styleId="Tekstpodstawowy2Znak">
    <w:name w:val="Tekst podstawowy 2 Znak"/>
    <w:basedOn w:val="Domylnaczcionkaakapitu"/>
    <w:link w:val="Tekstpodstawowy2"/>
    <w:rsid w:val="00CF4B76"/>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C916E8"/>
    <w:pPr>
      <w:spacing w:after="120"/>
    </w:pPr>
  </w:style>
  <w:style w:type="character" w:customStyle="1" w:styleId="TekstpodstawowyZnak">
    <w:name w:val="Tekst podstawowy Znak"/>
    <w:basedOn w:val="Domylnaczcionkaakapitu"/>
    <w:link w:val="Tekstpodstawowy"/>
    <w:uiPriority w:val="99"/>
    <w:semiHidden/>
    <w:rsid w:val="00C916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C916E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916E8"/>
    <w:rPr>
      <w:rFonts w:ascii="Times New Roman" w:eastAsia="Times New Roman" w:hAnsi="Times New Roman" w:cs="Times New Roman"/>
      <w:sz w:val="16"/>
      <w:szCs w:val="16"/>
      <w:lang w:eastAsia="pl-PL"/>
    </w:rPr>
  </w:style>
  <w:style w:type="paragraph" w:styleId="Bezodstpw">
    <w:name w:val="No Spacing"/>
    <w:uiPriority w:val="1"/>
    <w:qFormat/>
    <w:rsid w:val="00C916E8"/>
    <w:pPr>
      <w:spacing w:after="0" w:line="240" w:lineRule="auto"/>
    </w:pPr>
    <w:rPr>
      <w:rFonts w:ascii="Times New Roman" w:eastAsia="Times New Roman" w:hAnsi="Times New Roman" w:cs="Times New Roman"/>
      <w:sz w:val="24"/>
      <w:szCs w:val="24"/>
      <w:lang w:eastAsia="pl-PL"/>
    </w:rPr>
  </w:style>
  <w:style w:type="character" w:customStyle="1" w:styleId="FontStyle32">
    <w:name w:val="Font Style32"/>
    <w:rsid w:val="003940C0"/>
    <w:rPr>
      <w:rFonts w:ascii="Arial Unicode MS" w:eastAsia="Arial Unicode MS" w:hAnsi="Arial Unicode MS" w:cs="Arial Unicode MS" w:hint="eastAsia"/>
      <w:sz w:val="14"/>
      <w:szCs w:val="14"/>
    </w:rPr>
  </w:style>
  <w:style w:type="paragraph" w:customStyle="1" w:styleId="Akapitzlist1">
    <w:name w:val="Akapit z listą1"/>
    <w:basedOn w:val="Normalny"/>
    <w:rsid w:val="006E0C84"/>
    <w:pPr>
      <w:suppressAutoHyphens/>
      <w:spacing w:after="200" w:line="276" w:lineRule="auto"/>
      <w:ind w:left="720"/>
      <w:contextualSpacing/>
    </w:pPr>
    <w:rPr>
      <w:rFonts w:ascii="Calibri" w:eastAsia="SimSun" w:hAnsi="Calibri" w:cs="Calibri"/>
      <w:sz w:val="22"/>
      <w:szCs w:val="22"/>
      <w:lang w:eastAsia="zh-CN"/>
    </w:rPr>
  </w:style>
  <w:style w:type="paragraph" w:customStyle="1" w:styleId="ust">
    <w:name w:val="ust"/>
    <w:rsid w:val="008E341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85050"/>
    <w:rPr>
      <w:rFonts w:ascii="Tahoma" w:hAnsi="Tahoma" w:cs="Tahoma"/>
      <w:sz w:val="16"/>
      <w:szCs w:val="16"/>
    </w:rPr>
  </w:style>
  <w:style w:type="character" w:customStyle="1" w:styleId="TekstdymkaZnak">
    <w:name w:val="Tekst dymka Znak"/>
    <w:basedOn w:val="Domylnaczcionkaakapitu"/>
    <w:link w:val="Tekstdymka"/>
    <w:uiPriority w:val="99"/>
    <w:semiHidden/>
    <w:rsid w:val="009850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939D2-522A-4F46-A9F8-0E84F180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Miasta Ostrowca Świętokrzyskiego</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Mateusz Piechota</cp:lastModifiedBy>
  <cp:revision>2</cp:revision>
  <cp:lastPrinted>2018-03-12T13:04:00Z</cp:lastPrinted>
  <dcterms:created xsi:type="dcterms:W3CDTF">2018-03-13T13:07:00Z</dcterms:created>
  <dcterms:modified xsi:type="dcterms:W3CDTF">2018-03-13T13:07:00Z</dcterms:modified>
</cp:coreProperties>
</file>