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3B" w:rsidRPr="004C166B" w:rsidRDefault="00B44C19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360" w:hanging="288"/>
        <w:jc w:val="both"/>
        <w:rPr>
          <w:rFonts w:ascii="Times New Roman" w:hAnsi="Times New Roman"/>
          <w:color w:val="000000"/>
          <w:spacing w:val="18"/>
          <w:lang w:val="pl-PL"/>
        </w:rPr>
      </w:pPr>
      <w:r w:rsidRPr="00D67616">
        <w:rPr>
          <w:rFonts w:ascii="Times New Roman" w:hAnsi="Times New Roman"/>
          <w:color w:val="000000"/>
          <w:spacing w:val="18"/>
          <w:lang w:val="pl-PL"/>
        </w:rPr>
        <w:t xml:space="preserve">Czy Zamawiający rozważy wprowadzenie do umowy standardowego zapisu </w:t>
      </w:r>
      <w:r w:rsidRPr="00D67616">
        <w:rPr>
          <w:rFonts w:ascii="Times New Roman" w:hAnsi="Times New Roman"/>
          <w:color w:val="000000"/>
          <w:spacing w:val="17"/>
          <w:lang w:val="pl-PL"/>
        </w:rPr>
        <w:t xml:space="preserve">o ograniczeniu kar umownych, np. do 10 % wynagrodzenia? W doktrynie </w:t>
      </w:r>
      <w:r w:rsidRPr="00D67616">
        <w:rPr>
          <w:rFonts w:ascii="Times New Roman" w:hAnsi="Times New Roman"/>
          <w:color w:val="000000"/>
          <w:spacing w:val="3"/>
          <w:lang w:val="pl-PL"/>
        </w:rPr>
        <w:t xml:space="preserve">powszechny jest pogląd, że kara umowna - jako surogat odszkodowania - nie może </w:t>
      </w:r>
      <w:r w:rsidRPr="00D67616">
        <w:rPr>
          <w:rFonts w:ascii="Times New Roman" w:hAnsi="Times New Roman"/>
          <w:color w:val="000000"/>
          <w:spacing w:val="12"/>
          <w:lang w:val="pl-PL"/>
        </w:rPr>
        <w:t xml:space="preserve">prowadzić do nieuzasadnionego wzbogacenia wierzyciela kosztem dłużnika. </w:t>
      </w:r>
      <w:r w:rsidRPr="00D67616">
        <w:rPr>
          <w:rFonts w:ascii="Times New Roman" w:hAnsi="Times New Roman"/>
          <w:color w:val="000000"/>
          <w:spacing w:val="9"/>
          <w:lang w:val="pl-PL"/>
        </w:rPr>
        <w:t xml:space="preserve">Ustalenie przez Zamawiającego we wzorze umowy kar umownych bez górnego </w:t>
      </w:r>
      <w:r w:rsidRPr="00D67616">
        <w:rPr>
          <w:rFonts w:ascii="Times New Roman" w:hAnsi="Times New Roman"/>
          <w:color w:val="000000"/>
          <w:spacing w:val="13"/>
          <w:lang w:val="pl-PL"/>
        </w:rPr>
        <w:t>limitu ich naliczania należy uznać za naruszenie art. 353</w:t>
      </w:r>
      <w:r w:rsidRPr="00D67616">
        <w:rPr>
          <w:rFonts w:ascii="Times New Roman" w:hAnsi="Times New Roman"/>
          <w:color w:val="000000"/>
          <w:spacing w:val="13"/>
          <w:w w:val="80"/>
          <w:vertAlign w:val="superscript"/>
          <w:lang w:val="pl-PL"/>
        </w:rPr>
        <w:t>1</w:t>
      </w:r>
      <w:r w:rsidRPr="00D67616">
        <w:rPr>
          <w:rFonts w:ascii="Times New Roman" w:hAnsi="Times New Roman"/>
          <w:color w:val="000000"/>
          <w:spacing w:val="13"/>
          <w:lang w:val="pl-PL"/>
        </w:rPr>
        <w:t xml:space="preserve"> Kodeksu cywilnego </w:t>
      </w:r>
      <w:r w:rsidRPr="00D67616">
        <w:rPr>
          <w:rFonts w:ascii="Times New Roman" w:hAnsi="Times New Roman"/>
          <w:color w:val="000000"/>
          <w:spacing w:val="8"/>
          <w:lang w:val="pl-PL"/>
        </w:rPr>
        <w:t xml:space="preserve">w związku z art. 139 ust. 1 ustawy z dnia 29 stycznia 2004 r. Prawo zamówień </w:t>
      </w:r>
      <w:r w:rsidRPr="00D67616">
        <w:rPr>
          <w:rFonts w:ascii="Times New Roman" w:hAnsi="Times New Roman"/>
          <w:color w:val="000000"/>
          <w:spacing w:val="4"/>
          <w:lang w:val="pl-PL"/>
        </w:rPr>
        <w:t>publicznych i jest niezgodne z zasadami współżycia społecznego.</w:t>
      </w:r>
    </w:p>
    <w:p w:rsidR="004C166B" w:rsidRDefault="004C166B" w:rsidP="004C166B">
      <w:pPr>
        <w:tabs>
          <w:tab w:val="decimal" w:pos="288"/>
          <w:tab w:val="decimal" w:pos="360"/>
        </w:tabs>
        <w:spacing w:before="252"/>
        <w:ind w:left="360"/>
        <w:jc w:val="both"/>
        <w:rPr>
          <w:rFonts w:ascii="Times New Roman" w:hAnsi="Times New Roman"/>
          <w:b/>
          <w:color w:val="000000"/>
          <w:spacing w:val="4"/>
          <w:lang w:val="pl-PL"/>
        </w:rPr>
      </w:pPr>
      <w:r w:rsidRPr="004C166B">
        <w:rPr>
          <w:rFonts w:ascii="Times New Roman" w:hAnsi="Times New Roman"/>
          <w:b/>
          <w:color w:val="000000"/>
          <w:spacing w:val="4"/>
          <w:lang w:val="pl-PL"/>
        </w:rPr>
        <w:t>Odpowiedź</w:t>
      </w:r>
    </w:p>
    <w:p w:rsidR="004C166B" w:rsidRDefault="004C166B" w:rsidP="004C166B">
      <w:pPr>
        <w:tabs>
          <w:tab w:val="decimal" w:pos="288"/>
          <w:tab w:val="decimal" w:pos="360"/>
        </w:tabs>
        <w:spacing w:before="252"/>
        <w:ind w:left="360"/>
        <w:jc w:val="both"/>
        <w:rPr>
          <w:rFonts w:ascii="Times New Roman" w:hAnsi="Times New Roman"/>
          <w:b/>
          <w:color w:val="000000"/>
          <w:spacing w:val="4"/>
          <w:lang w:val="pl-PL"/>
        </w:rPr>
      </w:pPr>
      <w:r>
        <w:rPr>
          <w:rFonts w:ascii="Times New Roman" w:hAnsi="Times New Roman"/>
          <w:b/>
          <w:color w:val="000000"/>
          <w:spacing w:val="4"/>
          <w:lang w:val="pl-PL"/>
        </w:rPr>
        <w:t>Sugerowanego zapisu Zamawiający nie zamierza wprowadzić do treści umowy.</w:t>
      </w:r>
    </w:p>
    <w:p w:rsidR="004C166B" w:rsidRDefault="004C166B" w:rsidP="004C166B">
      <w:pPr>
        <w:tabs>
          <w:tab w:val="decimal" w:pos="288"/>
          <w:tab w:val="decimal" w:pos="360"/>
        </w:tabs>
        <w:spacing w:before="252"/>
        <w:ind w:left="360"/>
        <w:jc w:val="both"/>
        <w:rPr>
          <w:rFonts w:ascii="Times New Roman" w:hAnsi="Times New Roman"/>
          <w:b/>
          <w:color w:val="000000"/>
          <w:spacing w:val="4"/>
          <w:lang w:val="pl-PL"/>
        </w:rPr>
      </w:pPr>
      <w:r>
        <w:rPr>
          <w:rFonts w:ascii="Times New Roman" w:hAnsi="Times New Roman"/>
          <w:b/>
          <w:color w:val="000000"/>
          <w:spacing w:val="4"/>
          <w:lang w:val="pl-PL"/>
        </w:rPr>
        <w:t>29 listopada 2013 r Sąd Najwyższy wydał wyrok w sprawie CSK 124/13, dotyczącej przesłanek miarkowania kar umownych jako rażąco wygórowane.</w:t>
      </w:r>
    </w:p>
    <w:p w:rsidR="00817D72" w:rsidRDefault="004C166B" w:rsidP="00817D72">
      <w:pPr>
        <w:tabs>
          <w:tab w:val="decimal" w:pos="288"/>
          <w:tab w:val="decimal" w:pos="360"/>
        </w:tabs>
        <w:spacing w:before="252"/>
        <w:ind w:left="360"/>
        <w:jc w:val="both"/>
        <w:rPr>
          <w:rFonts w:ascii="Times New Roman" w:hAnsi="Times New Roman"/>
          <w:b/>
          <w:color w:val="000000"/>
          <w:spacing w:val="4"/>
          <w:lang w:val="pl-PL"/>
        </w:rPr>
      </w:pPr>
      <w:r>
        <w:rPr>
          <w:rFonts w:ascii="Times New Roman" w:hAnsi="Times New Roman"/>
          <w:b/>
          <w:color w:val="000000"/>
          <w:spacing w:val="4"/>
          <w:lang w:val="pl-PL"/>
        </w:rPr>
        <w:t>W wyroku tym Sąd Najwyższy wyraził pogląd, że „żądanie zapłaty kary umownej za nienależyte wykonanie przez dostawcę umowy w postaci uchybienia terminowości spełnienia świadczenia niepieniężnego w wysokości znacznie przewyższającej wysokość kary zastrzeżonej za odstąpienie przez tegoż dostawcę od umowy, może być potraktowane jako żądanie zapłaty k</w:t>
      </w:r>
      <w:r w:rsidR="00817D72">
        <w:rPr>
          <w:rFonts w:ascii="Times New Roman" w:hAnsi="Times New Roman"/>
          <w:b/>
          <w:color w:val="000000"/>
          <w:spacing w:val="4"/>
          <w:lang w:val="pl-PL"/>
        </w:rPr>
        <w:t>ary umownej rażąco wygórowanej.</w:t>
      </w:r>
    </w:p>
    <w:p w:rsidR="00817D72" w:rsidRPr="00817D72" w:rsidRDefault="00817D72" w:rsidP="00817D72">
      <w:pPr>
        <w:tabs>
          <w:tab w:val="decimal" w:pos="288"/>
          <w:tab w:val="decimal" w:pos="360"/>
        </w:tabs>
        <w:spacing w:before="252"/>
        <w:ind w:left="360"/>
        <w:jc w:val="both"/>
        <w:rPr>
          <w:rFonts w:ascii="Times New Roman" w:hAnsi="Times New Roman" w:cs="Times New Roman"/>
          <w:b/>
          <w:color w:val="000000"/>
          <w:spacing w:val="4"/>
          <w:lang w:val="pl-PL"/>
        </w:rPr>
      </w:pPr>
      <w:r w:rsidRPr="00817D72">
        <w:rPr>
          <w:rFonts w:ascii="Times New Roman" w:hAnsi="Times New Roman" w:cs="Times New Roman"/>
          <w:b/>
          <w:color w:val="000000"/>
          <w:spacing w:val="4"/>
          <w:lang w:val="pl-PL"/>
        </w:rPr>
        <w:t>W</w:t>
      </w:r>
      <w:r w:rsidRPr="00817D72">
        <w:rPr>
          <w:rFonts w:ascii="Times New Roman" w:hAnsi="Times New Roman" w:cs="Times New Roman"/>
          <w:b/>
          <w:lang w:val="pl-PL"/>
        </w:rPr>
        <w:t> praktyce okazuje się, że wysokość kar umownych z tytułu opóźnienia w realizacji umowy, jakich żądać może zamawiający, pomimo tego, że nie jest wprost ograniczona w treści umowy, to jednak podlega ona ograniczeniu. Ograniczenie to jest bowiem pochodną wysokości kary umownej za odstąpienie od umowy. Sąd Najwyższy nie w</w:t>
      </w:r>
      <w:r>
        <w:rPr>
          <w:rFonts w:ascii="Times New Roman" w:hAnsi="Times New Roman" w:cs="Times New Roman"/>
          <w:b/>
          <w:lang w:val="pl-PL"/>
        </w:rPr>
        <w:t xml:space="preserve">skazuje, jaka proporcja jego zdaniem jest </w:t>
      </w:r>
      <w:r w:rsidRPr="00817D72">
        <w:rPr>
          <w:rFonts w:ascii="Times New Roman" w:hAnsi="Times New Roman" w:cs="Times New Roman"/>
          <w:b/>
          <w:lang w:val="pl-PL"/>
        </w:rPr>
        <w:t>akceptowalna</w:t>
      </w:r>
      <w:r>
        <w:rPr>
          <w:rFonts w:ascii="Times New Roman" w:hAnsi="Times New Roman" w:cs="Times New Roman"/>
          <w:b/>
          <w:lang w:val="pl-PL"/>
        </w:rPr>
        <w:t>, gdyż ocena taka musi być dokonywana indywidualnie w odniesieniu do każdego konkretnego przypadku.</w:t>
      </w:r>
    </w:p>
    <w:p w:rsidR="0095263B" w:rsidRDefault="00B44C19">
      <w:pPr>
        <w:numPr>
          <w:ilvl w:val="0"/>
          <w:numId w:val="1"/>
        </w:numPr>
        <w:tabs>
          <w:tab w:val="clear" w:pos="288"/>
          <w:tab w:val="decimal" w:pos="360"/>
        </w:tabs>
        <w:spacing w:before="396"/>
        <w:ind w:left="360" w:hanging="288"/>
        <w:rPr>
          <w:rFonts w:ascii="Times New Roman" w:hAnsi="Times New Roman"/>
          <w:color w:val="000000"/>
          <w:spacing w:val="5"/>
          <w:lang w:val="pl-PL"/>
        </w:rPr>
      </w:pPr>
      <w:r w:rsidRPr="00D67616">
        <w:rPr>
          <w:rFonts w:ascii="Times New Roman" w:hAnsi="Times New Roman"/>
          <w:color w:val="000000"/>
          <w:spacing w:val="5"/>
          <w:lang w:val="pl-PL"/>
        </w:rPr>
        <w:t xml:space="preserve">Prosimy o potwierdzenie, </w:t>
      </w:r>
      <w:r w:rsidRPr="00D67616">
        <w:rPr>
          <w:rFonts w:ascii="Times New Roman" w:hAnsi="Times New Roman"/>
          <w:color w:val="000000"/>
          <w:spacing w:val="5"/>
          <w:w w:val="105"/>
          <w:lang w:val="pl-PL"/>
        </w:rPr>
        <w:t xml:space="preserve">że </w:t>
      </w:r>
      <w:r w:rsidRPr="00D67616">
        <w:rPr>
          <w:rFonts w:ascii="Times New Roman" w:hAnsi="Times New Roman"/>
          <w:color w:val="000000"/>
          <w:spacing w:val="5"/>
          <w:lang w:val="pl-PL"/>
        </w:rPr>
        <w:t>dwuletni okres rękojmi za wady przedmiotu umowy rozpoczyna bieg od daty protokolarnego odbioru końcowego.</w:t>
      </w:r>
    </w:p>
    <w:p w:rsidR="00867C88" w:rsidRPr="00867C88" w:rsidRDefault="00867C88" w:rsidP="00867C88">
      <w:pPr>
        <w:tabs>
          <w:tab w:val="decimal" w:pos="288"/>
          <w:tab w:val="decimal" w:pos="360"/>
        </w:tabs>
        <w:spacing w:before="396"/>
        <w:ind w:left="360"/>
        <w:rPr>
          <w:rFonts w:ascii="Times New Roman" w:hAnsi="Times New Roman"/>
          <w:b/>
          <w:color w:val="000000"/>
          <w:spacing w:val="5"/>
          <w:lang w:val="pl-PL"/>
        </w:rPr>
      </w:pPr>
      <w:r w:rsidRPr="00867C88">
        <w:rPr>
          <w:rFonts w:ascii="Times New Roman" w:hAnsi="Times New Roman"/>
          <w:b/>
          <w:color w:val="000000"/>
          <w:spacing w:val="5"/>
          <w:lang w:val="pl-PL"/>
        </w:rPr>
        <w:t>Odpowiedź</w:t>
      </w:r>
    </w:p>
    <w:p w:rsidR="00867C88" w:rsidRPr="00867C88" w:rsidRDefault="006B48F4" w:rsidP="00867C88">
      <w:pPr>
        <w:tabs>
          <w:tab w:val="decimal" w:pos="288"/>
          <w:tab w:val="decimal" w:pos="360"/>
        </w:tabs>
        <w:spacing w:before="396"/>
        <w:ind w:left="360"/>
        <w:rPr>
          <w:rFonts w:ascii="Times New Roman" w:hAnsi="Times New Roman"/>
          <w:b/>
          <w:color w:val="000000"/>
          <w:spacing w:val="5"/>
          <w:lang w:val="pl-PL"/>
        </w:rPr>
      </w:pPr>
      <w:r>
        <w:rPr>
          <w:rFonts w:ascii="Times New Roman" w:hAnsi="Times New Roman"/>
          <w:b/>
          <w:color w:val="000000"/>
          <w:spacing w:val="5"/>
          <w:lang w:val="pl-PL"/>
        </w:rPr>
        <w:t>Zamawiający potwierdza</w:t>
      </w:r>
      <w:r w:rsidR="00867C88" w:rsidRPr="00867C88">
        <w:rPr>
          <w:rFonts w:ascii="Times New Roman" w:hAnsi="Times New Roman"/>
          <w:b/>
          <w:color w:val="000000"/>
          <w:spacing w:val="5"/>
          <w:lang w:val="pl-PL"/>
        </w:rPr>
        <w:t xml:space="preserve">, że </w:t>
      </w:r>
      <w:r w:rsidR="00867C88" w:rsidRPr="00867C88">
        <w:rPr>
          <w:rFonts w:ascii="Times New Roman" w:hAnsi="Times New Roman"/>
          <w:b/>
          <w:color w:val="000000"/>
          <w:spacing w:val="5"/>
          <w:lang w:val="pl-PL"/>
        </w:rPr>
        <w:t>dwuletni okres rękojmi za wady przedmiotu umowy rozpoczyna bieg od daty protokolarnego odbioru końcowego</w:t>
      </w:r>
    </w:p>
    <w:p w:rsidR="0095263B" w:rsidRPr="009D1A2D" w:rsidRDefault="00B44C19">
      <w:pPr>
        <w:numPr>
          <w:ilvl w:val="0"/>
          <w:numId w:val="1"/>
        </w:numPr>
        <w:tabs>
          <w:tab w:val="clear" w:pos="288"/>
          <w:tab w:val="decimal" w:pos="360"/>
        </w:tabs>
        <w:spacing w:before="324"/>
        <w:ind w:left="360" w:hanging="288"/>
        <w:jc w:val="both"/>
        <w:rPr>
          <w:rFonts w:ascii="Times New Roman" w:hAnsi="Times New Roman"/>
          <w:color w:val="000000"/>
          <w:spacing w:val="3"/>
          <w:lang w:val="pl-PL"/>
        </w:rPr>
      </w:pPr>
      <w:r w:rsidRPr="00D67616">
        <w:rPr>
          <w:rFonts w:ascii="Times New Roman" w:hAnsi="Times New Roman"/>
          <w:color w:val="000000"/>
          <w:spacing w:val="3"/>
          <w:lang w:val="pl-PL"/>
        </w:rPr>
        <w:t xml:space="preserve">Zwracamy się o modyfikację treści SIWZ oraz §13 ust. 3 umowy w ten sposób, by </w:t>
      </w:r>
      <w:r w:rsidRPr="00D67616">
        <w:rPr>
          <w:rFonts w:ascii="Times New Roman" w:hAnsi="Times New Roman"/>
          <w:color w:val="000000"/>
          <w:spacing w:val="9"/>
          <w:lang w:val="pl-PL"/>
        </w:rPr>
        <w:t xml:space="preserve">wniesione przez Wykonawcę zabezpieczenie należytego wykonania umowy było </w:t>
      </w:r>
      <w:r w:rsidRPr="00D67616">
        <w:rPr>
          <w:rFonts w:ascii="Times New Roman" w:hAnsi="Times New Roman"/>
          <w:color w:val="000000"/>
          <w:spacing w:val="6"/>
          <w:lang w:val="pl-PL"/>
        </w:rPr>
        <w:t xml:space="preserve">w wysokości 30% przeznaczone na zabezpieczenie roszczeń </w:t>
      </w:r>
      <w:r w:rsidRPr="00D67616">
        <w:rPr>
          <w:rFonts w:ascii="Times New Roman" w:hAnsi="Times New Roman"/>
          <w:b/>
          <w:color w:val="000000"/>
          <w:spacing w:val="6"/>
          <w:u w:val="single"/>
          <w:lang w:val="pl-PL"/>
        </w:rPr>
        <w:t>z tytułu rękojmi</w:t>
      </w:r>
      <w:r w:rsidRPr="00D67616">
        <w:rPr>
          <w:rFonts w:ascii="Times New Roman" w:hAnsi="Times New Roman"/>
          <w:b/>
          <w:color w:val="000000"/>
          <w:spacing w:val="6"/>
          <w:lang w:val="pl-PL"/>
        </w:rPr>
        <w:t xml:space="preserve"> za </w:t>
      </w:r>
      <w:r w:rsidRPr="00D67616">
        <w:rPr>
          <w:rFonts w:ascii="Times New Roman" w:hAnsi="Times New Roman"/>
          <w:b/>
          <w:color w:val="000000"/>
          <w:spacing w:val="3"/>
          <w:lang w:val="pl-PL"/>
        </w:rPr>
        <w:t xml:space="preserve">wady oraz było zwracane po upływie okresu rękojmi. </w:t>
      </w:r>
      <w:r w:rsidRPr="00D67616">
        <w:rPr>
          <w:rFonts w:ascii="Times New Roman" w:hAnsi="Times New Roman"/>
          <w:color w:val="000000"/>
          <w:spacing w:val="3"/>
          <w:lang w:val="pl-PL"/>
        </w:rPr>
        <w:t xml:space="preserve">Prośba o modyfikację jest </w:t>
      </w:r>
      <w:r w:rsidRPr="00D67616">
        <w:rPr>
          <w:rFonts w:ascii="Times New Roman" w:hAnsi="Times New Roman"/>
          <w:color w:val="000000"/>
          <w:spacing w:val="10"/>
          <w:lang w:val="pl-PL"/>
        </w:rPr>
        <w:t xml:space="preserve">motywowana postanowieniami art. 151 ustawy Prawo zamówień publicznych. </w:t>
      </w:r>
      <w:r w:rsidRPr="00D67616">
        <w:rPr>
          <w:rFonts w:ascii="Times New Roman" w:hAnsi="Times New Roman"/>
          <w:color w:val="000000"/>
          <w:spacing w:val="3"/>
          <w:lang w:val="pl-PL"/>
        </w:rPr>
        <w:t xml:space="preserve">Zgodnie z tym przepisem kwota pozostawiona na zabezpieczenie roszczeń </w:t>
      </w:r>
      <w:r w:rsidRPr="00D67616">
        <w:rPr>
          <w:rFonts w:ascii="Times New Roman" w:hAnsi="Times New Roman"/>
          <w:color w:val="000000"/>
          <w:spacing w:val="3"/>
          <w:u w:val="single"/>
          <w:lang w:val="pl-PL"/>
        </w:rPr>
        <w:t xml:space="preserve">z tytułu </w:t>
      </w:r>
      <w:r w:rsidRPr="00D67616">
        <w:rPr>
          <w:rFonts w:ascii="Times New Roman" w:hAnsi="Times New Roman"/>
          <w:color w:val="000000"/>
          <w:spacing w:val="11"/>
          <w:u w:val="single"/>
          <w:lang w:val="pl-PL"/>
        </w:rPr>
        <w:t>rękojmi za wady</w:t>
      </w:r>
      <w:r w:rsidRPr="00D67616">
        <w:rPr>
          <w:rFonts w:ascii="Times New Roman" w:hAnsi="Times New Roman"/>
          <w:color w:val="000000"/>
          <w:spacing w:val="11"/>
          <w:lang w:val="pl-PL"/>
        </w:rPr>
        <w:t xml:space="preserve"> nie może przekraczać 30% wysokości zabezpieczenia i jest </w:t>
      </w:r>
      <w:r w:rsidRPr="00D67616">
        <w:rPr>
          <w:rFonts w:ascii="Times New Roman" w:hAnsi="Times New Roman"/>
          <w:color w:val="000000"/>
          <w:spacing w:val="10"/>
          <w:lang w:val="pl-PL"/>
        </w:rPr>
        <w:t xml:space="preserve">zwracana nie później niż w 15 dniu po upływie okresu rękojmi za wady (brak </w:t>
      </w:r>
      <w:r w:rsidRPr="00D67616">
        <w:rPr>
          <w:rFonts w:ascii="Times New Roman" w:hAnsi="Times New Roman"/>
          <w:color w:val="000000"/>
          <w:spacing w:val="4"/>
          <w:lang w:val="pl-PL"/>
        </w:rPr>
        <w:t>odniesienia do gwarancji jakości).</w:t>
      </w:r>
    </w:p>
    <w:p w:rsidR="009D1A2D" w:rsidRDefault="009D1A2D" w:rsidP="009D1A2D">
      <w:pPr>
        <w:tabs>
          <w:tab w:val="decimal" w:pos="288"/>
          <w:tab w:val="decimal" w:pos="360"/>
        </w:tabs>
        <w:spacing w:before="324"/>
        <w:ind w:left="360"/>
        <w:jc w:val="both"/>
        <w:rPr>
          <w:rFonts w:ascii="Times New Roman" w:hAnsi="Times New Roman"/>
          <w:b/>
          <w:color w:val="000000"/>
          <w:spacing w:val="4"/>
          <w:lang w:val="pl-PL"/>
        </w:rPr>
      </w:pPr>
      <w:r w:rsidRPr="009D1A2D">
        <w:rPr>
          <w:rFonts w:ascii="Times New Roman" w:hAnsi="Times New Roman"/>
          <w:b/>
          <w:color w:val="000000"/>
          <w:spacing w:val="4"/>
          <w:lang w:val="pl-PL"/>
        </w:rPr>
        <w:t>Odpowiedź</w:t>
      </w:r>
    </w:p>
    <w:p w:rsidR="009D1A2D" w:rsidRDefault="009D1A2D" w:rsidP="009D1A2D">
      <w:pPr>
        <w:tabs>
          <w:tab w:val="decimal" w:pos="288"/>
          <w:tab w:val="decimal" w:pos="360"/>
        </w:tabs>
        <w:spacing w:before="324"/>
        <w:ind w:left="360"/>
        <w:jc w:val="both"/>
        <w:rPr>
          <w:rFonts w:ascii="Times New Roman" w:hAnsi="Times New Roman"/>
          <w:b/>
          <w:color w:val="000000"/>
          <w:spacing w:val="4"/>
          <w:lang w:val="pl-PL"/>
        </w:rPr>
      </w:pPr>
      <w:r>
        <w:rPr>
          <w:rFonts w:ascii="Times New Roman" w:hAnsi="Times New Roman"/>
          <w:b/>
          <w:color w:val="000000"/>
          <w:spacing w:val="4"/>
          <w:lang w:val="pl-PL"/>
        </w:rPr>
        <w:t>Zamawiający wprowadził modyfikację w SIWZ oraz we wzorze umowy.                     Aktualne pliki niżej do pobrania.</w:t>
      </w:r>
    </w:p>
    <w:p w:rsidR="0095263B" w:rsidRDefault="00B44C19">
      <w:pPr>
        <w:numPr>
          <w:ilvl w:val="0"/>
          <w:numId w:val="1"/>
        </w:numPr>
        <w:tabs>
          <w:tab w:val="clear" w:pos="288"/>
          <w:tab w:val="decimal" w:pos="360"/>
        </w:tabs>
        <w:spacing w:before="360"/>
        <w:ind w:left="360" w:hanging="288"/>
        <w:rPr>
          <w:rFonts w:ascii="Times New Roman" w:hAnsi="Times New Roman"/>
          <w:color w:val="000000"/>
          <w:spacing w:val="2"/>
          <w:lang w:val="pl-PL"/>
        </w:rPr>
      </w:pPr>
      <w:r w:rsidRPr="00D67616">
        <w:rPr>
          <w:rFonts w:ascii="Times New Roman" w:hAnsi="Times New Roman"/>
          <w:color w:val="000000"/>
          <w:spacing w:val="2"/>
          <w:lang w:val="pl-PL"/>
        </w:rPr>
        <w:t>Czy Zamawiający dopuszcza możliwość zamknięcia ulic na czas prowadzenia robót budowlanych — z możliwością dojazdu do posesji?</w:t>
      </w:r>
    </w:p>
    <w:p w:rsidR="009D1A2D" w:rsidRDefault="009D1A2D" w:rsidP="009D1A2D">
      <w:pPr>
        <w:tabs>
          <w:tab w:val="decimal" w:pos="288"/>
          <w:tab w:val="decimal" w:pos="360"/>
        </w:tabs>
        <w:spacing w:before="360"/>
        <w:ind w:left="360"/>
        <w:rPr>
          <w:rFonts w:ascii="Times New Roman" w:hAnsi="Times New Roman"/>
          <w:b/>
          <w:color w:val="000000"/>
          <w:spacing w:val="2"/>
          <w:lang w:val="pl-PL"/>
        </w:rPr>
      </w:pPr>
      <w:r w:rsidRPr="009D1A2D">
        <w:rPr>
          <w:rFonts w:ascii="Times New Roman" w:hAnsi="Times New Roman"/>
          <w:b/>
          <w:color w:val="000000"/>
          <w:spacing w:val="2"/>
          <w:lang w:val="pl-PL"/>
        </w:rPr>
        <w:t>Odpowiedź</w:t>
      </w:r>
    </w:p>
    <w:p w:rsidR="009D1A2D" w:rsidRPr="009D1A2D" w:rsidRDefault="009D1A2D" w:rsidP="009D1A2D">
      <w:pPr>
        <w:tabs>
          <w:tab w:val="decimal" w:pos="288"/>
          <w:tab w:val="decimal" w:pos="360"/>
        </w:tabs>
        <w:spacing w:before="360"/>
        <w:ind w:left="360"/>
        <w:rPr>
          <w:rFonts w:ascii="Times New Roman" w:hAnsi="Times New Roman"/>
          <w:b/>
          <w:color w:val="000000"/>
          <w:spacing w:val="2"/>
          <w:lang w:val="pl-PL"/>
        </w:rPr>
      </w:pPr>
      <w:r>
        <w:rPr>
          <w:rFonts w:ascii="Times New Roman" w:hAnsi="Times New Roman"/>
          <w:b/>
          <w:color w:val="000000"/>
          <w:spacing w:val="2"/>
          <w:lang w:val="pl-PL"/>
        </w:rPr>
        <w:t>Tak.                                                                                                                                    Zamawiający dopuszcza taką możliwość na czas prowadzenia robót budowlanych.</w:t>
      </w:r>
    </w:p>
    <w:p w:rsidR="0095263B" w:rsidRPr="009D1A2D" w:rsidRDefault="00B44C19">
      <w:pPr>
        <w:numPr>
          <w:ilvl w:val="0"/>
          <w:numId w:val="1"/>
        </w:numPr>
        <w:tabs>
          <w:tab w:val="clear" w:pos="288"/>
          <w:tab w:val="decimal" w:pos="360"/>
        </w:tabs>
        <w:spacing w:before="324"/>
        <w:ind w:left="360" w:hanging="288"/>
        <w:jc w:val="both"/>
        <w:rPr>
          <w:rFonts w:ascii="Times New Roman" w:hAnsi="Times New Roman"/>
          <w:color w:val="000000"/>
          <w:spacing w:val="7"/>
          <w:lang w:val="pl-PL"/>
        </w:rPr>
      </w:pPr>
      <w:r w:rsidRPr="00D67616">
        <w:rPr>
          <w:rFonts w:ascii="Times New Roman" w:hAnsi="Times New Roman"/>
          <w:color w:val="000000"/>
          <w:spacing w:val="7"/>
          <w:lang w:val="pl-PL"/>
        </w:rPr>
        <w:lastRenderedPageBreak/>
        <w:t xml:space="preserve">Prosimy o wyjaśnienie, czy materiały z rozbiórki takie jak destrukt, krawężnik, </w:t>
      </w:r>
      <w:r w:rsidRPr="00D67616">
        <w:rPr>
          <w:rFonts w:ascii="Times New Roman" w:hAnsi="Times New Roman"/>
          <w:color w:val="000000"/>
          <w:spacing w:val="8"/>
          <w:lang w:val="pl-PL"/>
        </w:rPr>
        <w:t xml:space="preserve">obrzeże, kostka przechodzi na własność Wykonawcy? Przedmiar robót zawiera </w:t>
      </w:r>
      <w:r w:rsidRPr="00D67616">
        <w:rPr>
          <w:rFonts w:ascii="Times New Roman" w:hAnsi="Times New Roman"/>
          <w:color w:val="000000"/>
          <w:spacing w:val="10"/>
          <w:lang w:val="pl-PL"/>
        </w:rPr>
        <w:t xml:space="preserve">informację, że w/w materiały zostaną odwiezione zgodnie z zapisami umowy, </w:t>
      </w:r>
      <w:r w:rsidRPr="00D67616">
        <w:rPr>
          <w:rFonts w:ascii="Times New Roman" w:hAnsi="Times New Roman"/>
          <w:color w:val="000000"/>
          <w:spacing w:val="11"/>
          <w:lang w:val="pl-PL"/>
        </w:rPr>
        <w:t xml:space="preserve">natomiast umowa nie precyzuje w jaki sposób należy zagospodarować materiały </w:t>
      </w:r>
      <w:r w:rsidRPr="00D67616">
        <w:rPr>
          <w:rFonts w:ascii="Times New Roman" w:hAnsi="Times New Roman"/>
          <w:color w:val="000000"/>
          <w:lang w:val="pl-PL"/>
        </w:rPr>
        <w:t>z rozbiórki.</w:t>
      </w:r>
    </w:p>
    <w:p w:rsidR="009D1A2D" w:rsidRPr="009D1A2D" w:rsidRDefault="009D1A2D" w:rsidP="009D1A2D">
      <w:pPr>
        <w:tabs>
          <w:tab w:val="decimal" w:pos="288"/>
          <w:tab w:val="decimal" w:pos="360"/>
        </w:tabs>
        <w:spacing w:before="324"/>
        <w:ind w:left="360"/>
        <w:jc w:val="both"/>
        <w:rPr>
          <w:rFonts w:ascii="Times New Roman" w:hAnsi="Times New Roman"/>
          <w:b/>
          <w:color w:val="000000"/>
          <w:spacing w:val="7"/>
          <w:lang w:val="pl-PL"/>
        </w:rPr>
      </w:pPr>
      <w:r w:rsidRPr="009D1A2D">
        <w:rPr>
          <w:rFonts w:ascii="Times New Roman" w:hAnsi="Times New Roman"/>
          <w:b/>
          <w:color w:val="000000"/>
          <w:spacing w:val="7"/>
          <w:lang w:val="pl-PL"/>
        </w:rPr>
        <w:t>Odpowiedź</w:t>
      </w:r>
    </w:p>
    <w:p w:rsidR="009D1A2D" w:rsidRPr="009D1A2D" w:rsidRDefault="009D1A2D" w:rsidP="009D1A2D">
      <w:pPr>
        <w:tabs>
          <w:tab w:val="decimal" w:pos="288"/>
          <w:tab w:val="decimal" w:pos="360"/>
        </w:tabs>
        <w:spacing w:before="324"/>
        <w:ind w:left="360"/>
        <w:jc w:val="both"/>
        <w:rPr>
          <w:rFonts w:ascii="Times New Roman" w:hAnsi="Times New Roman"/>
          <w:b/>
          <w:color w:val="000000"/>
          <w:lang w:val="pl-PL"/>
        </w:rPr>
      </w:pPr>
      <w:r w:rsidRPr="009D1A2D">
        <w:rPr>
          <w:rFonts w:ascii="Times New Roman" w:hAnsi="Times New Roman"/>
          <w:b/>
          <w:color w:val="000000"/>
          <w:lang w:val="pl-PL"/>
        </w:rPr>
        <w:t>Nie.</w:t>
      </w:r>
      <w:r>
        <w:rPr>
          <w:rFonts w:ascii="Times New Roman" w:hAnsi="Times New Roman"/>
          <w:b/>
          <w:color w:val="000000"/>
          <w:lang w:val="pl-PL"/>
        </w:rPr>
        <w:t xml:space="preserve"> </w:t>
      </w:r>
      <w:r w:rsidR="00075650">
        <w:rPr>
          <w:rFonts w:ascii="Times New Roman" w:hAnsi="Times New Roman"/>
          <w:b/>
          <w:color w:val="000000"/>
          <w:lang w:val="pl-PL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pl-PL"/>
        </w:rPr>
        <w:t xml:space="preserve">Materiały z rozbiórki </w:t>
      </w:r>
      <w:r w:rsidR="00075650">
        <w:rPr>
          <w:rFonts w:ascii="Times New Roman" w:hAnsi="Times New Roman"/>
          <w:b/>
          <w:color w:val="000000"/>
          <w:lang w:val="pl-PL"/>
        </w:rPr>
        <w:t>nie przechodzą na własność Wykonawcy.</w:t>
      </w:r>
    </w:p>
    <w:p w:rsidR="0095263B" w:rsidRDefault="00B44C19">
      <w:pPr>
        <w:numPr>
          <w:ilvl w:val="0"/>
          <w:numId w:val="1"/>
        </w:numPr>
        <w:tabs>
          <w:tab w:val="clear" w:pos="288"/>
          <w:tab w:val="decimal" w:pos="360"/>
        </w:tabs>
        <w:spacing w:before="324" w:line="268" w:lineRule="auto"/>
        <w:ind w:left="360" w:hanging="288"/>
        <w:rPr>
          <w:rFonts w:ascii="Times New Roman" w:hAnsi="Times New Roman"/>
          <w:color w:val="000000"/>
          <w:spacing w:val="8"/>
          <w:lang w:val="pl-PL"/>
        </w:rPr>
      </w:pPr>
      <w:r w:rsidRPr="00D67616">
        <w:rPr>
          <w:rFonts w:ascii="Times New Roman" w:hAnsi="Times New Roman"/>
          <w:color w:val="000000"/>
          <w:spacing w:val="8"/>
          <w:lang w:val="pl-PL"/>
        </w:rPr>
        <w:t>Jakie oznakowanie poziome należy wykonać: cienko</w:t>
      </w:r>
      <w:r w:rsidR="00075650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D67616">
        <w:rPr>
          <w:rFonts w:ascii="Times New Roman" w:hAnsi="Times New Roman"/>
          <w:color w:val="000000"/>
          <w:spacing w:val="8"/>
          <w:lang w:val="pl-PL"/>
        </w:rPr>
        <w:t>- czy grubowarstwowe?</w:t>
      </w:r>
    </w:p>
    <w:p w:rsidR="00075650" w:rsidRDefault="00075650" w:rsidP="00075650">
      <w:pPr>
        <w:tabs>
          <w:tab w:val="decimal" w:pos="288"/>
          <w:tab w:val="decimal" w:pos="360"/>
        </w:tabs>
        <w:spacing w:before="324" w:line="268" w:lineRule="auto"/>
        <w:ind w:left="360"/>
        <w:rPr>
          <w:rFonts w:ascii="Times New Roman" w:hAnsi="Times New Roman"/>
          <w:b/>
          <w:color w:val="000000"/>
          <w:spacing w:val="7"/>
          <w:lang w:val="pl-PL"/>
        </w:rPr>
      </w:pPr>
      <w:r w:rsidRPr="009D1A2D">
        <w:rPr>
          <w:rFonts w:ascii="Times New Roman" w:hAnsi="Times New Roman"/>
          <w:b/>
          <w:color w:val="000000"/>
          <w:spacing w:val="7"/>
          <w:lang w:val="pl-PL"/>
        </w:rPr>
        <w:t>Odpowiedź</w:t>
      </w:r>
    </w:p>
    <w:p w:rsidR="00075650" w:rsidRPr="00D67616" w:rsidRDefault="00075650" w:rsidP="00075650">
      <w:pPr>
        <w:tabs>
          <w:tab w:val="decimal" w:pos="288"/>
          <w:tab w:val="decimal" w:pos="360"/>
        </w:tabs>
        <w:spacing w:before="324" w:line="268" w:lineRule="auto"/>
        <w:ind w:left="360"/>
        <w:rPr>
          <w:rFonts w:ascii="Times New Roman" w:hAnsi="Times New Roman"/>
          <w:color w:val="000000"/>
          <w:spacing w:val="8"/>
          <w:lang w:val="pl-PL"/>
        </w:rPr>
      </w:pPr>
      <w:r>
        <w:rPr>
          <w:rFonts w:ascii="Times New Roman" w:hAnsi="Times New Roman"/>
          <w:b/>
          <w:color w:val="000000"/>
          <w:spacing w:val="7"/>
          <w:lang w:val="pl-PL"/>
        </w:rPr>
        <w:t>Poziome oznakowanie należy wykonać grubowarstwowe.</w:t>
      </w:r>
    </w:p>
    <w:p w:rsidR="00B87D96" w:rsidRDefault="00B44C19" w:rsidP="00B87D96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360" w:hanging="288"/>
        <w:jc w:val="both"/>
        <w:rPr>
          <w:rFonts w:ascii="Times New Roman" w:hAnsi="Times New Roman"/>
          <w:color w:val="000000"/>
          <w:spacing w:val="9"/>
          <w:lang w:val="pl-PL"/>
        </w:rPr>
      </w:pPr>
      <w:r w:rsidRPr="00D67616">
        <w:rPr>
          <w:rFonts w:ascii="Times New Roman" w:hAnsi="Times New Roman"/>
          <w:color w:val="000000"/>
          <w:spacing w:val="9"/>
          <w:lang w:val="pl-PL"/>
        </w:rPr>
        <w:t xml:space="preserve">Prosimy o wskazanie jaką ilość odwodnienia liniowego klasy B-125kN należy </w:t>
      </w:r>
      <w:r w:rsidRPr="00D67616">
        <w:rPr>
          <w:rFonts w:ascii="Times New Roman" w:hAnsi="Times New Roman"/>
          <w:color w:val="000000"/>
          <w:spacing w:val="10"/>
          <w:lang w:val="pl-PL"/>
        </w:rPr>
        <w:t xml:space="preserve">przyjąć do wyceny, </w:t>
      </w:r>
      <w:r w:rsidRPr="00D67616">
        <w:rPr>
          <w:rFonts w:ascii="Times New Roman" w:hAnsi="Times New Roman"/>
          <w:color w:val="000000"/>
          <w:spacing w:val="10"/>
          <w:w w:val="105"/>
          <w:lang w:val="pl-PL"/>
        </w:rPr>
        <w:t xml:space="preserve">ponieważ </w:t>
      </w:r>
      <w:r w:rsidRPr="00D67616">
        <w:rPr>
          <w:rFonts w:ascii="Times New Roman" w:hAnsi="Times New Roman"/>
          <w:color w:val="000000"/>
          <w:spacing w:val="10"/>
          <w:lang w:val="pl-PL"/>
        </w:rPr>
        <w:t xml:space="preserve">przedmiar robót obejmuje jedynie odwodnienie </w:t>
      </w:r>
      <w:r w:rsidRPr="00D67616">
        <w:rPr>
          <w:rFonts w:ascii="Times New Roman" w:hAnsi="Times New Roman"/>
          <w:color w:val="000000"/>
          <w:spacing w:val="4"/>
          <w:lang w:val="pl-PL"/>
        </w:rPr>
        <w:t>pochodnikowe, a brak jest informacji o odwodnieniu liniowym?</w:t>
      </w:r>
    </w:p>
    <w:p w:rsidR="00B87D96" w:rsidRDefault="00B87D96" w:rsidP="00B87D96">
      <w:pPr>
        <w:tabs>
          <w:tab w:val="decimal" w:pos="288"/>
          <w:tab w:val="decimal" w:pos="360"/>
        </w:tabs>
        <w:spacing w:before="324" w:line="268" w:lineRule="auto"/>
        <w:ind w:left="360"/>
        <w:rPr>
          <w:rFonts w:ascii="Times New Roman" w:hAnsi="Times New Roman"/>
          <w:b/>
          <w:color w:val="000000"/>
          <w:spacing w:val="7"/>
          <w:lang w:val="pl-PL"/>
        </w:rPr>
      </w:pPr>
      <w:r w:rsidRPr="009D1A2D">
        <w:rPr>
          <w:rFonts w:ascii="Times New Roman" w:hAnsi="Times New Roman"/>
          <w:b/>
          <w:color w:val="000000"/>
          <w:spacing w:val="7"/>
          <w:lang w:val="pl-PL"/>
        </w:rPr>
        <w:t>Odpowiedź</w:t>
      </w:r>
    </w:p>
    <w:p w:rsidR="00574B2A" w:rsidRPr="00437779" w:rsidRDefault="00437779" w:rsidP="00437779">
      <w:pPr>
        <w:tabs>
          <w:tab w:val="decimal" w:pos="288"/>
          <w:tab w:val="decimal" w:pos="360"/>
        </w:tabs>
        <w:spacing w:before="252"/>
        <w:ind w:left="360"/>
        <w:rPr>
          <w:rFonts w:ascii="Times New Roman" w:hAnsi="Times New Roman" w:cs="Times New Roman"/>
          <w:lang w:val="pl-PL"/>
        </w:rPr>
      </w:pPr>
      <w:r w:rsidRPr="00437779">
        <w:rPr>
          <w:rFonts w:ascii="Times New Roman" w:hAnsi="Times New Roman" w:cs="Times New Roman"/>
          <w:lang w:val="pl-PL"/>
        </w:rPr>
        <w:t>Uzupełniona wersja</w:t>
      </w:r>
      <w:r w:rsidR="00B87D96" w:rsidRPr="00437779">
        <w:rPr>
          <w:rFonts w:ascii="Times New Roman" w:hAnsi="Times New Roman" w:cs="Times New Roman"/>
          <w:lang w:val="pl-PL"/>
        </w:rPr>
        <w:t xml:space="preserve"> przedmiaru i kosztorysu ofertowego oznaczoną jako V-2</w:t>
      </w:r>
      <w:r w:rsidRPr="00437779">
        <w:rPr>
          <w:rFonts w:ascii="Times New Roman" w:hAnsi="Times New Roman" w:cs="Times New Roman"/>
          <w:lang w:val="pl-PL"/>
        </w:rPr>
        <w:t xml:space="preserve"> znajduje się niżej do pobrania.                                                                                                                                 D</w:t>
      </w:r>
      <w:r w:rsidR="00B87D96" w:rsidRPr="00437779">
        <w:rPr>
          <w:rFonts w:ascii="Times New Roman" w:hAnsi="Times New Roman" w:cs="Times New Roman"/>
          <w:lang w:val="pl-PL"/>
        </w:rPr>
        <w:t xml:space="preserve">odano pozycję 3.12 - odwodnienie liniowe poprawiono pozycję 6.10 </w:t>
      </w:r>
      <w:proofErr w:type="spellStart"/>
      <w:r w:rsidR="00B87D96" w:rsidRPr="00437779">
        <w:rPr>
          <w:rFonts w:ascii="Times New Roman" w:hAnsi="Times New Roman" w:cs="Times New Roman"/>
          <w:lang w:val="pl-PL"/>
        </w:rPr>
        <w:t>dot</w:t>
      </w:r>
      <w:proofErr w:type="spellEnd"/>
      <w:r w:rsidR="00B87D96" w:rsidRPr="00437779">
        <w:rPr>
          <w:rFonts w:ascii="Times New Roman" w:hAnsi="Times New Roman" w:cs="Times New Roman"/>
          <w:lang w:val="pl-PL"/>
        </w:rPr>
        <w:t xml:space="preserve"> hydrantu poprawiono opis w pozycji 1.1 Roboty przygotowawcze dołączono SST 03.20.01 odwodnienie liniowe</w:t>
      </w:r>
    </w:p>
    <w:p w:rsidR="00574B2A" w:rsidRPr="00D67616" w:rsidRDefault="00574B2A" w:rsidP="00574B2A">
      <w:pPr>
        <w:tabs>
          <w:tab w:val="decimal" w:pos="288"/>
          <w:tab w:val="decimal" w:pos="360"/>
        </w:tabs>
        <w:spacing w:before="252"/>
        <w:ind w:left="360"/>
        <w:jc w:val="both"/>
        <w:rPr>
          <w:rFonts w:ascii="Times New Roman" w:hAnsi="Times New Roman"/>
          <w:color w:val="000000"/>
          <w:spacing w:val="9"/>
          <w:lang w:val="pl-PL"/>
        </w:rPr>
      </w:pPr>
    </w:p>
    <w:p w:rsidR="00654737" w:rsidRPr="00574B2A" w:rsidRDefault="00654737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360" w:hanging="288"/>
        <w:jc w:val="both"/>
        <w:rPr>
          <w:rFonts w:ascii="Times New Roman" w:hAnsi="Times New Roman"/>
          <w:color w:val="000000"/>
          <w:spacing w:val="9"/>
          <w:lang w:val="pl-PL"/>
        </w:rPr>
      </w:pPr>
      <w:r w:rsidRPr="00D67616">
        <w:rPr>
          <w:rFonts w:ascii="Times New Roman" w:hAnsi="Times New Roman"/>
          <w:color w:val="000000"/>
          <w:spacing w:val="4"/>
          <w:lang w:val="pl-PL"/>
        </w:rPr>
        <w:t>Czy oznakowanie pionowe znajdujące się w projekcie, a nie uwzględnione w przedmiarze robót (np. B-2, B-36) należy uwzględnić w wycenie jako oznakowanie przeznaczone do wymiany?</w:t>
      </w:r>
    </w:p>
    <w:p w:rsidR="00574B2A" w:rsidRDefault="00574B2A" w:rsidP="00574B2A">
      <w:pPr>
        <w:tabs>
          <w:tab w:val="decimal" w:pos="288"/>
          <w:tab w:val="decimal" w:pos="360"/>
        </w:tabs>
        <w:spacing w:before="324" w:line="268" w:lineRule="auto"/>
        <w:ind w:left="360"/>
        <w:rPr>
          <w:rFonts w:ascii="Times New Roman" w:hAnsi="Times New Roman"/>
          <w:b/>
          <w:color w:val="000000"/>
          <w:spacing w:val="7"/>
          <w:lang w:val="pl-PL"/>
        </w:rPr>
      </w:pPr>
      <w:r w:rsidRPr="009D1A2D">
        <w:rPr>
          <w:rFonts w:ascii="Times New Roman" w:hAnsi="Times New Roman"/>
          <w:b/>
          <w:color w:val="000000"/>
          <w:spacing w:val="7"/>
          <w:lang w:val="pl-PL"/>
        </w:rPr>
        <w:t>Odpowiedź</w:t>
      </w:r>
    </w:p>
    <w:p w:rsidR="00574B2A" w:rsidRPr="00574B2A" w:rsidRDefault="00574B2A" w:rsidP="00574B2A">
      <w:pPr>
        <w:tabs>
          <w:tab w:val="decimal" w:pos="288"/>
          <w:tab w:val="decimal" w:pos="360"/>
        </w:tabs>
        <w:spacing w:before="252"/>
        <w:ind w:left="360"/>
        <w:jc w:val="both"/>
        <w:rPr>
          <w:rFonts w:ascii="Times New Roman" w:hAnsi="Times New Roman"/>
          <w:b/>
          <w:color w:val="000000"/>
          <w:spacing w:val="9"/>
          <w:lang w:val="pl-PL"/>
        </w:rPr>
      </w:pPr>
      <w:r w:rsidRPr="00574B2A">
        <w:rPr>
          <w:rFonts w:ascii="Times New Roman" w:hAnsi="Times New Roman"/>
          <w:b/>
          <w:color w:val="000000"/>
          <w:spacing w:val="9"/>
          <w:lang w:val="pl-PL"/>
        </w:rPr>
        <w:t>Nie.</w:t>
      </w:r>
    </w:p>
    <w:p w:rsidR="00654737" w:rsidRPr="00574B2A" w:rsidRDefault="00654737" w:rsidP="00654737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360" w:hanging="288"/>
        <w:jc w:val="both"/>
        <w:rPr>
          <w:rFonts w:ascii="Times New Roman" w:hAnsi="Times New Roman"/>
          <w:color w:val="000000"/>
          <w:spacing w:val="9"/>
          <w:lang w:val="pl-PL"/>
        </w:rPr>
      </w:pPr>
      <w:r w:rsidRPr="00D67616">
        <w:rPr>
          <w:rFonts w:ascii="Times New Roman" w:hAnsi="Times New Roman"/>
          <w:color w:val="000000"/>
          <w:spacing w:val="4"/>
          <w:lang w:val="pl-PL"/>
        </w:rPr>
        <w:t>Na czym ma polegać przestawienie hydrantów kolidujących z chodnikiem (poz. 6. 10 przedmiaru), czy wiąże się to z całkowitą wymianą hydrantów? Jeżeli tak proszę podać jakich materiałów należy użyć?</w:t>
      </w:r>
    </w:p>
    <w:p w:rsidR="00574B2A" w:rsidRDefault="00574B2A" w:rsidP="00574B2A">
      <w:pPr>
        <w:tabs>
          <w:tab w:val="decimal" w:pos="288"/>
          <w:tab w:val="decimal" w:pos="360"/>
        </w:tabs>
        <w:spacing w:before="324" w:line="268" w:lineRule="auto"/>
        <w:ind w:left="360"/>
        <w:rPr>
          <w:rFonts w:ascii="Times New Roman" w:hAnsi="Times New Roman"/>
          <w:b/>
          <w:color w:val="000000"/>
          <w:spacing w:val="7"/>
          <w:lang w:val="pl-PL"/>
        </w:rPr>
      </w:pPr>
      <w:r w:rsidRPr="009D1A2D">
        <w:rPr>
          <w:rFonts w:ascii="Times New Roman" w:hAnsi="Times New Roman"/>
          <w:b/>
          <w:color w:val="000000"/>
          <w:spacing w:val="7"/>
          <w:lang w:val="pl-PL"/>
        </w:rPr>
        <w:t>Odpowiedź</w:t>
      </w:r>
    </w:p>
    <w:p w:rsidR="00EE591C" w:rsidRDefault="00EE591C" w:rsidP="00EE591C">
      <w:pPr>
        <w:tabs>
          <w:tab w:val="decimal" w:pos="288"/>
          <w:tab w:val="decimal" w:pos="360"/>
        </w:tabs>
        <w:spacing w:before="324" w:line="268" w:lineRule="auto"/>
        <w:ind w:left="360"/>
        <w:rPr>
          <w:rFonts w:ascii="Times New Roman" w:hAnsi="Times New Roman"/>
          <w:b/>
          <w:color w:val="000000"/>
          <w:spacing w:val="7"/>
          <w:lang w:val="pl-PL"/>
        </w:rPr>
      </w:pPr>
      <w:r>
        <w:rPr>
          <w:rFonts w:ascii="Times New Roman" w:hAnsi="Times New Roman"/>
          <w:b/>
          <w:color w:val="000000"/>
          <w:spacing w:val="7"/>
          <w:lang w:val="pl-PL"/>
        </w:rPr>
        <w:t>Tak. Wiąże się to z całkow</w:t>
      </w:r>
      <w:bookmarkStart w:id="0" w:name="_GoBack"/>
      <w:bookmarkEnd w:id="0"/>
      <w:r>
        <w:rPr>
          <w:rFonts w:ascii="Times New Roman" w:hAnsi="Times New Roman"/>
          <w:b/>
          <w:color w:val="000000"/>
          <w:spacing w:val="7"/>
          <w:lang w:val="pl-PL"/>
        </w:rPr>
        <w:t>itą wymianą hydrantów z takich samych materiałów</w:t>
      </w:r>
      <w:r w:rsidR="00B70AC7">
        <w:rPr>
          <w:rFonts w:ascii="Times New Roman" w:hAnsi="Times New Roman"/>
          <w:b/>
          <w:color w:val="000000"/>
          <w:spacing w:val="7"/>
          <w:lang w:val="pl-PL"/>
        </w:rPr>
        <w:t xml:space="preserve"> jak istniejące</w:t>
      </w:r>
      <w:r>
        <w:rPr>
          <w:rFonts w:ascii="Times New Roman" w:hAnsi="Times New Roman"/>
          <w:b/>
          <w:color w:val="000000"/>
          <w:spacing w:val="7"/>
          <w:lang w:val="pl-PL"/>
        </w:rPr>
        <w:t>.</w:t>
      </w:r>
    </w:p>
    <w:p w:rsidR="00654737" w:rsidRPr="00EE591C" w:rsidRDefault="00654737" w:rsidP="00654737">
      <w:pPr>
        <w:numPr>
          <w:ilvl w:val="0"/>
          <w:numId w:val="1"/>
        </w:numPr>
        <w:tabs>
          <w:tab w:val="clear" w:pos="288"/>
          <w:tab w:val="decimal" w:pos="284"/>
        </w:tabs>
        <w:spacing w:before="252"/>
        <w:ind w:left="142" w:hanging="142"/>
        <w:jc w:val="both"/>
        <w:rPr>
          <w:rFonts w:ascii="Times New Roman" w:hAnsi="Times New Roman"/>
          <w:color w:val="000000"/>
          <w:spacing w:val="9"/>
          <w:lang w:val="pl-PL"/>
        </w:rPr>
      </w:pPr>
      <w:r w:rsidRPr="00D67616">
        <w:rPr>
          <w:rFonts w:ascii="Times New Roman" w:hAnsi="Times New Roman"/>
          <w:color w:val="000000"/>
          <w:spacing w:val="4"/>
          <w:lang w:val="pl-PL"/>
        </w:rPr>
        <w:t>Czy wszystkie pokrywy z kanalizacji sanitarnej mają być wymienione, czy tylko te wskazujące na duże zużycie?</w:t>
      </w:r>
    </w:p>
    <w:p w:rsidR="00EE591C" w:rsidRDefault="00EE591C" w:rsidP="00EE591C">
      <w:pPr>
        <w:tabs>
          <w:tab w:val="decimal" w:pos="288"/>
          <w:tab w:val="decimal" w:pos="360"/>
        </w:tabs>
        <w:spacing w:before="324" w:line="268" w:lineRule="auto"/>
        <w:rPr>
          <w:rFonts w:ascii="Times New Roman" w:hAnsi="Times New Roman"/>
          <w:b/>
          <w:color w:val="000000"/>
          <w:spacing w:val="7"/>
          <w:lang w:val="pl-PL"/>
        </w:rPr>
      </w:pPr>
      <w:r w:rsidRPr="009D1A2D">
        <w:rPr>
          <w:rFonts w:ascii="Times New Roman" w:hAnsi="Times New Roman"/>
          <w:b/>
          <w:color w:val="000000"/>
          <w:spacing w:val="7"/>
          <w:lang w:val="pl-PL"/>
        </w:rPr>
        <w:t>Odpowiedź</w:t>
      </w:r>
    </w:p>
    <w:p w:rsidR="00EE591C" w:rsidRDefault="00EE591C" w:rsidP="00EE591C">
      <w:pPr>
        <w:tabs>
          <w:tab w:val="decimal" w:pos="288"/>
          <w:tab w:val="decimal" w:pos="360"/>
        </w:tabs>
        <w:spacing w:before="324" w:line="268" w:lineRule="auto"/>
        <w:rPr>
          <w:rFonts w:ascii="Times New Roman" w:hAnsi="Times New Roman"/>
          <w:b/>
          <w:color w:val="000000"/>
          <w:spacing w:val="7"/>
          <w:lang w:val="pl-PL"/>
        </w:rPr>
      </w:pPr>
      <w:r>
        <w:rPr>
          <w:rFonts w:ascii="Times New Roman" w:hAnsi="Times New Roman"/>
          <w:b/>
          <w:color w:val="000000"/>
          <w:spacing w:val="7"/>
          <w:lang w:val="pl-PL"/>
        </w:rPr>
        <w:t>Tak. Wszystkie pokrywy z kanalizacji sanitarnej mają być wymienione.</w:t>
      </w:r>
    </w:p>
    <w:p w:rsidR="00EE591C" w:rsidRPr="00D67616" w:rsidRDefault="00EE591C" w:rsidP="00EE591C">
      <w:pPr>
        <w:tabs>
          <w:tab w:val="decimal" w:pos="288"/>
        </w:tabs>
        <w:spacing w:before="252"/>
        <w:ind w:left="142"/>
        <w:jc w:val="both"/>
        <w:rPr>
          <w:rFonts w:ascii="Times New Roman" w:hAnsi="Times New Roman"/>
          <w:color w:val="000000"/>
          <w:spacing w:val="9"/>
          <w:lang w:val="pl-PL"/>
        </w:rPr>
      </w:pPr>
    </w:p>
    <w:sectPr w:rsidR="00EE591C" w:rsidRPr="00D67616" w:rsidSect="00B70AC7">
      <w:pgSz w:w="11918" w:h="16854"/>
      <w:pgMar w:top="426" w:right="1578" w:bottom="284" w:left="16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1CBC"/>
    <w:multiLevelType w:val="multilevel"/>
    <w:tmpl w:val="235AB05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8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3B"/>
    <w:rsid w:val="00075650"/>
    <w:rsid w:val="00437779"/>
    <w:rsid w:val="004C166B"/>
    <w:rsid w:val="00574B2A"/>
    <w:rsid w:val="00654737"/>
    <w:rsid w:val="006B48F4"/>
    <w:rsid w:val="00817D72"/>
    <w:rsid w:val="00867C88"/>
    <w:rsid w:val="0095263B"/>
    <w:rsid w:val="009D1A2D"/>
    <w:rsid w:val="00B44C19"/>
    <w:rsid w:val="00B70AC7"/>
    <w:rsid w:val="00B87D96"/>
    <w:rsid w:val="00D67616"/>
    <w:rsid w:val="00E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8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8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Piechota</dc:creator>
  <cp:lastModifiedBy>Mateusz Piechota</cp:lastModifiedBy>
  <cp:revision>9</cp:revision>
  <cp:lastPrinted>2015-02-03T13:09:00Z</cp:lastPrinted>
  <dcterms:created xsi:type="dcterms:W3CDTF">2015-02-03T06:42:00Z</dcterms:created>
  <dcterms:modified xsi:type="dcterms:W3CDTF">2015-02-03T13:14:00Z</dcterms:modified>
</cp:coreProperties>
</file>